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CF7E19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CF7E19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CF7E19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CF7E19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CF7E19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CF7E19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CF7E19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CF7E19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CF7E19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CF7E19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CF7E19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CF7E19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 w:rsidRPr="00CF7E19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CF7E19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CF7E19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 w:rsidRPr="00CF7E19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1E8B1E4E" w:rsidR="00041727" w:rsidRPr="00CF7E19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CF7E19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 w:rsidRPr="00CF7E19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CF7E19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585DA7" w:rsidRPr="00CF7E19">
              <w:rPr>
                <w:b/>
                <w:color w:val="365F91"/>
                <w:lang w:val="es-ES_tradnl"/>
              </w:rPr>
              <w:t>5</w:t>
            </w:r>
          </w:p>
        </w:tc>
      </w:tr>
      <w:tr w:rsidR="00041727" w:rsidRPr="00CF7E19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CF7E19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CF7E19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52FD7A95" w:rsidR="00041727" w:rsidRPr="00CF7E19" w:rsidRDefault="00527225" w:rsidP="00527225">
            <w:pPr>
              <w:pStyle w:val="StyleComplexTahomaComplex11ptAccent1RightAfter-"/>
            </w:pPr>
            <w:r w:rsidRPr="00CF7E19">
              <w:t>Presentado por</w:t>
            </w:r>
            <w:r w:rsidR="00041727" w:rsidRPr="00CF7E19">
              <w:t>:</w:t>
            </w:r>
            <w:r w:rsidR="00041727" w:rsidRPr="00CF7E19">
              <w:br/>
            </w:r>
            <w:r w:rsidRPr="00CF7E19">
              <w:rPr>
                <w:bCs/>
                <w:color w:val="365F91"/>
              </w:rPr>
              <w:t>Secretario General</w:t>
            </w:r>
          </w:p>
          <w:p w14:paraId="58B64AA7" w14:textId="52A927D5" w:rsidR="00041727" w:rsidRPr="00CF7E19" w:rsidRDefault="00585DA7" w:rsidP="00527225">
            <w:pPr>
              <w:pStyle w:val="StyleComplexTahomaComplex11ptAccent1RightAfter-"/>
            </w:pPr>
            <w:r w:rsidRPr="00CF7E19">
              <w:rPr>
                <w:bCs/>
                <w:color w:val="365F91"/>
              </w:rPr>
              <w:t>3</w:t>
            </w:r>
            <w:r w:rsidR="00527225" w:rsidRPr="00CF7E19">
              <w:t>.</w:t>
            </w:r>
            <w:r w:rsidRPr="00CF7E19">
              <w:rPr>
                <w:bCs/>
                <w:color w:val="365F91"/>
              </w:rPr>
              <w:t>I</w:t>
            </w:r>
            <w:r w:rsidR="00A41E35" w:rsidRPr="00CF7E19">
              <w:t>.202</w:t>
            </w:r>
            <w:r w:rsidR="00581CFE" w:rsidRPr="00CF7E19">
              <w:t>2</w:t>
            </w:r>
          </w:p>
          <w:p w14:paraId="645ACF9E" w14:textId="77777777" w:rsidR="00041727" w:rsidRPr="00CF7E19" w:rsidRDefault="00CF40BF" w:rsidP="00D52574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CF7E19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741CB7CC" w:rsidR="00C4470F" w:rsidRPr="00CF7E19" w:rsidRDefault="001527A3" w:rsidP="00514EAC">
      <w:pPr>
        <w:pStyle w:val="WMOBodyText"/>
        <w:ind w:left="3969" w:hanging="3969"/>
        <w:rPr>
          <w:b/>
        </w:rPr>
      </w:pPr>
      <w:r w:rsidRPr="00CF7E19">
        <w:rPr>
          <w:b/>
        </w:rPr>
        <w:t xml:space="preserve">PUNTO </w:t>
      </w:r>
      <w:r w:rsidR="00585DA7" w:rsidRPr="00CF7E19">
        <w:rPr>
          <w:b/>
        </w:rPr>
        <w:t>5</w:t>
      </w:r>
      <w:r w:rsidRPr="00CF7E19">
        <w:rPr>
          <w:b/>
        </w:rPr>
        <w:t xml:space="preserve"> DEL ORDEN DEL DÍA:</w:t>
      </w:r>
      <w:r w:rsidR="00A41E35" w:rsidRPr="00CF7E19">
        <w:rPr>
          <w:b/>
        </w:rPr>
        <w:tab/>
      </w:r>
      <w:r w:rsidR="00585DA7" w:rsidRPr="00CF7E19">
        <w:rPr>
          <w:b/>
        </w:rPr>
        <w:t>PRESUPUESTO</w:t>
      </w:r>
    </w:p>
    <w:p w14:paraId="207D3BFC" w14:textId="6FAB99AB" w:rsidR="00814CC6" w:rsidRPr="00CF7E19" w:rsidRDefault="00585DA7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CF7E19">
        <w:rPr>
          <w:lang w:val="es-ES_tradnl"/>
        </w:rPr>
        <w:t>cifra máxima de gastos para el</w:t>
      </w:r>
      <w:r w:rsidR="00DD1677" w:rsidRPr="00CF7E19">
        <w:rPr>
          <w:lang w:val="es-ES_tradnl"/>
        </w:rPr>
        <w:t xml:space="preserve"> DECIMONOVENO PERIODO FINANCIERO (2024-2027)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730FC5" w:rsidRPr="00580F70" w14:paraId="6936F47D" w14:textId="77777777" w:rsidTr="00730FC5">
        <w:trPr>
          <w:trHeight w:val="3674"/>
          <w:jc w:val="center"/>
        </w:trPr>
        <w:tc>
          <w:tcPr>
            <w:tcW w:w="9526" w:type="dxa"/>
          </w:tcPr>
          <w:p w14:paraId="7F7301F8" w14:textId="77777777" w:rsidR="00730FC5" w:rsidRPr="00CF7E19" w:rsidRDefault="00730FC5" w:rsidP="00730FC5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CF7E19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32027F61" w:rsidR="00730FC5" w:rsidRPr="00CF7E19" w:rsidRDefault="00730FC5" w:rsidP="00730FC5">
            <w:pPr>
              <w:pStyle w:val="WMOBodyText"/>
              <w:spacing w:before="160"/>
              <w:jc w:val="left"/>
            </w:pPr>
            <w:r w:rsidRPr="00CF7E19">
              <w:rPr>
                <w:b/>
                <w:bCs/>
              </w:rPr>
              <w:t>Documento presentado por:</w:t>
            </w:r>
            <w:r w:rsidRPr="00CF7E19">
              <w:t xml:space="preserve"> el Secretario General</w:t>
            </w:r>
          </w:p>
          <w:p w14:paraId="23EFDEE1" w14:textId="11793135" w:rsidR="00730FC5" w:rsidRPr="00CF7E19" w:rsidRDefault="00730FC5" w:rsidP="00730FC5">
            <w:pPr>
              <w:pStyle w:val="WMOBodyText"/>
              <w:spacing w:before="160"/>
              <w:jc w:val="left"/>
              <w:rPr>
                <w:b/>
                <w:bCs/>
              </w:rPr>
            </w:pPr>
            <w:r w:rsidRPr="00CF7E19">
              <w:rPr>
                <w:b/>
                <w:bCs/>
              </w:rPr>
              <w:t xml:space="preserve">Objetivo estratégico para 2020-2023: </w:t>
            </w:r>
            <w:r w:rsidRPr="00CF7E19">
              <w:t>todos</w:t>
            </w:r>
          </w:p>
          <w:p w14:paraId="4446254B" w14:textId="6BC8658E" w:rsidR="00730FC5" w:rsidRPr="00CF7E19" w:rsidRDefault="00730FC5" w:rsidP="00730FC5">
            <w:pPr>
              <w:pStyle w:val="WMOBodyText"/>
              <w:spacing w:before="160"/>
              <w:jc w:val="left"/>
            </w:pPr>
            <w:r w:rsidRPr="00CF7E19">
              <w:rPr>
                <w:b/>
                <w:bCs/>
              </w:rPr>
              <w:t>Consecuencias financieras y administrativas:</w:t>
            </w:r>
            <w:r w:rsidRPr="00CF7E19">
              <w:t xml:space="preserve"> representa la cifra máxima de gastos propuesta para 2024-2027 en consonancia con el Plan Estratégico y el Plan de Funcionamiento de la Organización Meteorológica Mundial (OMM) para 2024-2027</w:t>
            </w:r>
          </w:p>
          <w:p w14:paraId="521199FE" w14:textId="7FCA0312" w:rsidR="00730FC5" w:rsidRPr="00CF7E19" w:rsidRDefault="00730FC5" w:rsidP="00730FC5">
            <w:pPr>
              <w:pStyle w:val="WMOBodyText"/>
              <w:spacing w:before="160"/>
              <w:jc w:val="left"/>
            </w:pPr>
            <w:r w:rsidRPr="00CF7E19">
              <w:rPr>
                <w:b/>
                <w:bCs/>
              </w:rPr>
              <w:t>Principales encargados de la ejecución:</w:t>
            </w:r>
            <w:r w:rsidRPr="00CF7E19">
              <w:t xml:space="preserve"> la Secretaría</w:t>
            </w:r>
          </w:p>
          <w:p w14:paraId="084D86C2" w14:textId="56AE8EF5" w:rsidR="00730FC5" w:rsidRPr="00CF7E19" w:rsidRDefault="00730FC5" w:rsidP="00730FC5">
            <w:pPr>
              <w:pStyle w:val="WMOBodyText"/>
              <w:spacing w:before="160"/>
              <w:jc w:val="left"/>
            </w:pPr>
            <w:r w:rsidRPr="00CF7E19">
              <w:rPr>
                <w:b/>
                <w:bCs/>
              </w:rPr>
              <w:t>Cronograma:</w:t>
            </w:r>
            <w:r w:rsidRPr="00CF7E19">
              <w:t xml:space="preserve"> 2024-2027</w:t>
            </w:r>
          </w:p>
          <w:p w14:paraId="21378005" w14:textId="6741EBE5" w:rsidR="00730FC5" w:rsidRPr="00CF7E19" w:rsidRDefault="00730FC5" w:rsidP="00730FC5">
            <w:pPr>
              <w:pStyle w:val="WMOBodyText"/>
              <w:spacing w:before="160" w:after="120"/>
              <w:jc w:val="left"/>
              <w:rPr>
                <w:b/>
                <w:bCs/>
                <w:sz w:val="22"/>
                <w:szCs w:val="22"/>
              </w:rPr>
            </w:pPr>
            <w:r w:rsidRPr="00CF7E19">
              <w:rPr>
                <w:b/>
                <w:bCs/>
              </w:rPr>
              <w:t>Medida prevista:</w:t>
            </w:r>
            <w:r w:rsidRPr="00CF7E19">
              <w:t xml:space="preserve"> examinar el proyecto de recomendación propuesto</w:t>
            </w:r>
          </w:p>
        </w:tc>
      </w:tr>
    </w:tbl>
    <w:p w14:paraId="11E89763" w14:textId="77777777" w:rsidR="00B01B02" w:rsidRPr="00CF7E19" w:rsidRDefault="00B01B02" w:rsidP="00EC7CF5">
      <w:pPr>
        <w:pStyle w:val="WMOBodyText"/>
        <w:spacing w:before="0"/>
      </w:pPr>
    </w:p>
    <w:p w14:paraId="5C8BAC22" w14:textId="4023DB15" w:rsidR="00581CFE" w:rsidRPr="00CF7E19" w:rsidRDefault="00B01B02" w:rsidP="00AB53A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CF7E19">
        <w:rPr>
          <w:lang w:val="es-ES_tradnl"/>
        </w:rPr>
        <w:br w:type="page"/>
      </w:r>
    </w:p>
    <w:p w14:paraId="17DA295C" w14:textId="02514D0B" w:rsidR="00581CFE" w:rsidRPr="00CF7E19" w:rsidRDefault="00581CFE" w:rsidP="00581CFE">
      <w:pPr>
        <w:pStyle w:val="Heading1"/>
        <w:rPr>
          <w:lang w:val="es-ES_tradnl"/>
        </w:rPr>
      </w:pPr>
      <w:bookmarkStart w:id="1" w:name="_Annex_to_Draft_2"/>
      <w:bookmarkStart w:id="2" w:name="_Annex_to_Draft"/>
      <w:bookmarkEnd w:id="1"/>
      <w:bookmarkEnd w:id="2"/>
      <w:r w:rsidRPr="00CF7E19">
        <w:rPr>
          <w:lang w:val="es-ES_tradnl"/>
        </w:rPr>
        <w:lastRenderedPageBreak/>
        <w:t>PROYECTO DE RECOMENDACIÓN</w:t>
      </w:r>
    </w:p>
    <w:p w14:paraId="277168F1" w14:textId="551F519B" w:rsidR="00581CFE" w:rsidRPr="00CF7E19" w:rsidRDefault="00581CFE" w:rsidP="00581CFE">
      <w:pPr>
        <w:pStyle w:val="Heading2"/>
      </w:pPr>
      <w:bookmarkStart w:id="3" w:name="_DRAFT_RESOLUTION_4.2/1_(EC-64)_-_PU"/>
      <w:bookmarkStart w:id="4" w:name="_DRAFT_RESOLUTION_X.X/1"/>
      <w:bookmarkStart w:id="5" w:name="_Toc319327010"/>
      <w:bookmarkEnd w:id="3"/>
      <w:bookmarkEnd w:id="4"/>
      <w:r w:rsidRPr="00CF7E19">
        <w:t xml:space="preserve">Proyecto de Recomendación </w:t>
      </w:r>
      <w:r w:rsidR="00CF5E38" w:rsidRPr="00CF7E19">
        <w:t>5/1</w:t>
      </w:r>
      <w:r w:rsidRPr="00CF7E19">
        <w:t xml:space="preserve"> (EC-76)</w:t>
      </w:r>
    </w:p>
    <w:p w14:paraId="44D3BA12" w14:textId="53021579" w:rsidR="00581CFE" w:rsidRPr="00CF7E19" w:rsidRDefault="00CF5E38" w:rsidP="00581CFE">
      <w:pPr>
        <w:pStyle w:val="Heading2"/>
        <w:rPr>
          <w:caps/>
        </w:rPr>
      </w:pPr>
      <w:bookmarkStart w:id="6" w:name="_Title_of_the"/>
      <w:bookmarkEnd w:id="5"/>
      <w:bookmarkEnd w:id="6"/>
      <w:r w:rsidRPr="00CF7E19">
        <w:t>Cifra máxima de gastos para el decimonoveno per</w:t>
      </w:r>
      <w:r w:rsidR="00F62582" w:rsidRPr="00CF7E19">
        <w:t>í</w:t>
      </w:r>
      <w:r w:rsidRPr="00CF7E19">
        <w:t>odo financiero</w:t>
      </w:r>
      <w:r w:rsidRPr="00CF7E19">
        <w:br/>
        <w:t>(2024-2027)</w:t>
      </w:r>
    </w:p>
    <w:p w14:paraId="09961A30" w14:textId="77777777" w:rsidR="00581CFE" w:rsidRPr="00CF7E19" w:rsidRDefault="00581CFE" w:rsidP="00581CFE">
      <w:pPr>
        <w:pStyle w:val="WMOBodyText"/>
      </w:pPr>
      <w:r w:rsidRPr="00CF7E19">
        <w:t>EL CONSEJO EJECUTIVO,</w:t>
      </w:r>
    </w:p>
    <w:p w14:paraId="2B191024" w14:textId="38EBDEA6" w:rsidR="00581CFE" w:rsidRPr="00CF7E19" w:rsidRDefault="00581CFE" w:rsidP="00EB132F">
      <w:pPr>
        <w:pStyle w:val="WMOBodyText"/>
        <w:rPr>
          <w:b/>
        </w:rPr>
      </w:pPr>
      <w:r w:rsidRPr="00CF7E19">
        <w:rPr>
          <w:b/>
        </w:rPr>
        <w:t>Recordando</w:t>
      </w:r>
      <w:r w:rsidR="00EB132F" w:rsidRPr="00CF7E19">
        <w:rPr>
          <w:bCs/>
        </w:rPr>
        <w:t>:</w:t>
      </w:r>
    </w:p>
    <w:p w14:paraId="7B8D0639" w14:textId="127F2FBE" w:rsidR="00581CFE" w:rsidRPr="00CF7E19" w:rsidRDefault="00581CFE" w:rsidP="00581CFE">
      <w:pPr>
        <w:pStyle w:val="WMOIndent1"/>
        <w:tabs>
          <w:tab w:val="clear" w:pos="567"/>
          <w:tab w:val="left" w:pos="1134"/>
        </w:tabs>
      </w:pPr>
      <w:r w:rsidRPr="00CF7E19">
        <w:t>1)</w:t>
      </w:r>
      <w:r w:rsidRPr="00CF7E19">
        <w:tab/>
      </w:r>
      <w:r w:rsidR="00EB132F" w:rsidRPr="00CF7E19">
        <w:t xml:space="preserve">el </w:t>
      </w:r>
      <w:hyperlink r:id="rId12" w:anchor="page=25" w:history="1">
        <w:r w:rsidR="00EB132F" w:rsidRPr="00CF7E19">
          <w:rPr>
            <w:rStyle w:val="Hyperlink"/>
          </w:rPr>
          <w:t>Artículo 23</w:t>
        </w:r>
      </w:hyperlink>
      <w:r w:rsidR="00EB132F" w:rsidRPr="00CF7E19">
        <w:t xml:space="preserve"> del Convenio de la Organización Meteorológica Mundial</w:t>
      </w:r>
      <w:r w:rsidRPr="00CF7E19">
        <w:t>,</w:t>
      </w:r>
      <w:r w:rsidR="00107A09" w:rsidRPr="00CF7E19">
        <w:t xml:space="preserve"> (</w:t>
      </w:r>
      <w:r w:rsidR="00107A09" w:rsidRPr="00CF7E19">
        <w:rPr>
          <w:i/>
          <w:iCs/>
        </w:rPr>
        <w:t>Documentos fundamentales</w:t>
      </w:r>
      <w:r w:rsidR="00107A09" w:rsidRPr="00CF7E19">
        <w:t xml:space="preserve"> </w:t>
      </w:r>
      <w:r w:rsidR="00107A09" w:rsidRPr="00CF7E19">
        <w:rPr>
          <w:i/>
          <w:iCs/>
        </w:rPr>
        <w:t>Nº 1</w:t>
      </w:r>
      <w:r w:rsidR="00107A09" w:rsidRPr="00CF7E19">
        <w:t xml:space="preserve"> (OMM-Nº 15)),</w:t>
      </w:r>
    </w:p>
    <w:p w14:paraId="5CC33E40" w14:textId="0ED57A73" w:rsidR="00EB132F" w:rsidRPr="00CF7E19" w:rsidRDefault="00EB132F" w:rsidP="00581CFE">
      <w:pPr>
        <w:pStyle w:val="WMOIndent1"/>
        <w:tabs>
          <w:tab w:val="clear" w:pos="567"/>
          <w:tab w:val="left" w:pos="1134"/>
        </w:tabs>
      </w:pPr>
      <w:r w:rsidRPr="00CF7E19">
        <w:t>2)</w:t>
      </w:r>
      <w:r w:rsidRPr="00CF7E19">
        <w:tab/>
      </w:r>
      <w:r w:rsidR="0097378F" w:rsidRPr="00CF7E19">
        <w:t xml:space="preserve">los </w:t>
      </w:r>
      <w:hyperlink r:id="rId13" w:anchor="page=125" w:history="1">
        <w:r w:rsidR="00730FC5" w:rsidRPr="00CF7E19">
          <w:rPr>
            <w:rStyle w:val="Hyperlink"/>
          </w:rPr>
          <w:t>Artículos 3</w:t>
        </w:r>
      </w:hyperlink>
      <w:r w:rsidR="0097378F" w:rsidRPr="00CF7E19">
        <w:t xml:space="preserve"> </w:t>
      </w:r>
      <w:hyperlink r:id="rId14" w:anchor="page=126" w:history="1">
        <w:r w:rsidR="00730FC5" w:rsidRPr="00CF7E19">
          <w:rPr>
            <w:rStyle w:val="Hyperlink"/>
          </w:rPr>
          <w:t>y 4</w:t>
        </w:r>
      </w:hyperlink>
      <w:r w:rsidR="00730FC5" w:rsidRPr="00CF7E19">
        <w:t xml:space="preserve"> </w:t>
      </w:r>
      <w:r w:rsidR="0097378F" w:rsidRPr="00CF7E19">
        <w:t>del Reglamento Financiero de la OMM,</w:t>
      </w:r>
      <w:r w:rsidR="0071693A" w:rsidRPr="00CF7E19">
        <w:t xml:space="preserve"> (</w:t>
      </w:r>
      <w:r w:rsidR="0071693A" w:rsidRPr="00CF7E19">
        <w:rPr>
          <w:i/>
          <w:iCs/>
        </w:rPr>
        <w:t>Documentos fundamentales</w:t>
      </w:r>
      <w:r w:rsidR="0071693A" w:rsidRPr="00CF7E19">
        <w:t xml:space="preserve"> </w:t>
      </w:r>
      <w:r w:rsidR="0071693A" w:rsidRPr="00CF7E19">
        <w:rPr>
          <w:i/>
          <w:iCs/>
        </w:rPr>
        <w:t>Nº 1</w:t>
      </w:r>
      <w:r w:rsidR="0071693A" w:rsidRPr="00CF7E19">
        <w:t xml:space="preserve"> (OMM-Nº 15)),</w:t>
      </w:r>
    </w:p>
    <w:p w14:paraId="1BD3C6DF" w14:textId="5D87A412" w:rsidR="0097378F" w:rsidRPr="00CF7E19" w:rsidRDefault="0097378F" w:rsidP="0097378F">
      <w:pPr>
        <w:pStyle w:val="WMOIndent1"/>
        <w:tabs>
          <w:tab w:val="clear" w:pos="567"/>
          <w:tab w:val="left" w:pos="1134"/>
        </w:tabs>
      </w:pPr>
      <w:r w:rsidRPr="00CF7E19">
        <w:t>3)</w:t>
      </w:r>
      <w:r w:rsidRPr="00CF7E19">
        <w:tab/>
        <w:t xml:space="preserve">la </w:t>
      </w:r>
      <w:hyperlink r:id="rId15" w:anchor="page=90" w:history="1">
        <w:r w:rsidRPr="00CF7E19">
          <w:rPr>
            <w:rStyle w:val="Hyperlink"/>
          </w:rPr>
          <w:t>Decisión 10 (EC-75)</w:t>
        </w:r>
      </w:hyperlink>
      <w:r w:rsidRPr="00CF7E19">
        <w:t xml:space="preserve"> — Enfoque para la formulación del Plan Estratégico para 2024</w:t>
      </w:r>
      <w:r w:rsidR="009149A8">
        <w:noBreakHyphen/>
      </w:r>
      <w:r w:rsidRPr="00CF7E19">
        <w:t>2027,</w:t>
      </w:r>
    </w:p>
    <w:p w14:paraId="2B649D6C" w14:textId="23E6F463" w:rsidR="0097378F" w:rsidRPr="00CF7E19" w:rsidRDefault="0097378F" w:rsidP="0097378F">
      <w:pPr>
        <w:pStyle w:val="WMOIndent1"/>
        <w:tabs>
          <w:tab w:val="clear" w:pos="567"/>
          <w:tab w:val="left" w:pos="1134"/>
        </w:tabs>
      </w:pPr>
      <w:r w:rsidRPr="00CF7E19">
        <w:t>4)</w:t>
      </w:r>
      <w:r w:rsidRPr="00CF7E19">
        <w:tab/>
        <w:t xml:space="preserve">la </w:t>
      </w:r>
      <w:hyperlink r:id="rId16" w:anchor="page=122" w:history="1">
        <w:r w:rsidRPr="00CF7E19">
          <w:rPr>
            <w:rStyle w:val="Hyperlink"/>
          </w:rPr>
          <w:t>Decisión 11 (EC-75)</w:t>
        </w:r>
      </w:hyperlink>
      <w:r w:rsidRPr="00CF7E19">
        <w:t xml:space="preserve"> — Proceso de preparación y elementos de la cifra máxima de gastos para el decimonoveno período financiero (2024-2027),</w:t>
      </w:r>
    </w:p>
    <w:p w14:paraId="760C2666" w14:textId="6AE79E24" w:rsidR="00581CFE" w:rsidRPr="00CF7E19" w:rsidRDefault="001502E5" w:rsidP="00581CFE">
      <w:pPr>
        <w:pStyle w:val="WMOBodyText"/>
      </w:pPr>
      <w:r w:rsidRPr="00CF7E19">
        <w:rPr>
          <w:b/>
          <w:bCs/>
          <w:color w:val="000000"/>
        </w:rPr>
        <w:t xml:space="preserve">Habiendo </w:t>
      </w:r>
      <w:r w:rsidR="00D339D5" w:rsidRPr="00CF7E19">
        <w:rPr>
          <w:b/>
          <w:bCs/>
          <w:color w:val="000000"/>
        </w:rPr>
        <w:t xml:space="preserve">examinado </w:t>
      </w:r>
      <w:r w:rsidRPr="00CF7E19">
        <w:t xml:space="preserve">la propuesta </w:t>
      </w:r>
      <w:r w:rsidR="00CB529B" w:rsidRPr="00CF7E19">
        <w:t>formulada por el</w:t>
      </w:r>
      <w:r w:rsidRPr="00CF7E19">
        <w:t xml:space="preserve"> Secretario General </w:t>
      </w:r>
      <w:r w:rsidR="0071693A" w:rsidRPr="00CF7E19">
        <w:t>sobre</w:t>
      </w:r>
      <w:r w:rsidRPr="00CF7E19">
        <w:t xml:space="preserve"> la cifra máxima de gastos para el decimonoveno período financiero (2024-2027) (véase el documento </w:t>
      </w:r>
      <w:hyperlink r:id="rId17" w:history="1">
        <w:r w:rsidRPr="00CF7E19">
          <w:rPr>
            <w:rStyle w:val="Hyperlink"/>
          </w:rPr>
          <w:t>Cg</w:t>
        </w:r>
        <w:r w:rsidR="00730FC5" w:rsidRPr="00CF7E19">
          <w:rPr>
            <w:rStyle w:val="Hyperlink"/>
          </w:rPr>
          <w:noBreakHyphen/>
        </w:r>
        <w:r w:rsidRPr="00CF7E19">
          <w:rPr>
            <w:rStyle w:val="Hyperlink"/>
          </w:rPr>
          <w:t>19/INF. 3(2)</w:t>
        </w:r>
      </w:hyperlink>
      <w:r w:rsidRPr="00CF7E19">
        <w:t xml:space="preserve">), </w:t>
      </w:r>
      <w:r w:rsidR="00CB529B" w:rsidRPr="00CF7E19">
        <w:t>que incluye</w:t>
      </w:r>
      <w:r w:rsidRPr="00CF7E19">
        <w:t xml:space="preserve"> </w:t>
      </w:r>
      <w:r w:rsidR="002C2CD8" w:rsidRPr="00CF7E19">
        <w:t xml:space="preserve">una propuesta del Secretario General y </w:t>
      </w:r>
      <w:r w:rsidRPr="00CF7E19">
        <w:t>un escenario de crecimiento nominal cer</w:t>
      </w:r>
      <w:r w:rsidR="00D339D5" w:rsidRPr="00CF7E19">
        <w:t>o</w:t>
      </w:r>
      <w:r w:rsidRPr="00CF7E19">
        <w:t xml:space="preserve">, sobre la base </w:t>
      </w:r>
      <w:r w:rsidR="0071693A" w:rsidRPr="00CF7E19">
        <w:t>de los proyectos</w:t>
      </w:r>
      <w:r w:rsidR="00D339D5" w:rsidRPr="00CF7E19">
        <w:t xml:space="preserve"> </w:t>
      </w:r>
      <w:r w:rsidRPr="00CF7E19">
        <w:t>de Plan Estratégico para 202</w:t>
      </w:r>
      <w:r w:rsidR="00D339D5" w:rsidRPr="00CF7E19">
        <w:t>4</w:t>
      </w:r>
      <w:r w:rsidRPr="00CF7E19">
        <w:t>-202</w:t>
      </w:r>
      <w:r w:rsidR="00D339D5" w:rsidRPr="00CF7E19">
        <w:t>7</w:t>
      </w:r>
      <w:r w:rsidRPr="00CF7E19">
        <w:t xml:space="preserve"> (véase el documento </w:t>
      </w:r>
      <w:hyperlink r:id="rId18" w:history="1">
        <w:r w:rsidRPr="00CF7E19">
          <w:rPr>
            <w:rStyle w:val="Hyperlink"/>
          </w:rPr>
          <w:t>EC-7</w:t>
        </w:r>
        <w:r w:rsidR="00D339D5" w:rsidRPr="00CF7E19">
          <w:rPr>
            <w:rStyle w:val="Hyperlink"/>
          </w:rPr>
          <w:t>6</w:t>
        </w:r>
        <w:r w:rsidRPr="00CF7E19">
          <w:rPr>
            <w:rStyle w:val="Hyperlink"/>
          </w:rPr>
          <w:t>/</w:t>
        </w:r>
        <w:r w:rsidR="00D339D5" w:rsidRPr="00CF7E19">
          <w:rPr>
            <w:rStyle w:val="Hyperlink"/>
          </w:rPr>
          <w:t>Doc. 4(1)</w:t>
        </w:r>
      </w:hyperlink>
      <w:r w:rsidRPr="00CF7E19">
        <w:t>)</w:t>
      </w:r>
      <w:r w:rsidR="0071693A" w:rsidRPr="00CF7E19">
        <w:t xml:space="preserve"> y de Plan de Funcionamiento para 2024-2027 (véase el documento </w:t>
      </w:r>
      <w:hyperlink r:id="rId19" w:history="1">
        <w:r w:rsidR="0071693A" w:rsidRPr="00CF7E19">
          <w:rPr>
            <w:rStyle w:val="Hyperlink"/>
          </w:rPr>
          <w:t>Cg-19/INF. 3(3)</w:t>
        </w:r>
      </w:hyperlink>
      <w:r w:rsidR="0071693A" w:rsidRPr="00CF7E19">
        <w:t>,</w:t>
      </w:r>
    </w:p>
    <w:p w14:paraId="5EA36B00" w14:textId="52AAB148" w:rsidR="00D339D5" w:rsidRPr="00CF7E19" w:rsidRDefault="00D339D5" w:rsidP="00581CFE">
      <w:pPr>
        <w:pStyle w:val="WMOBodyText"/>
        <w:rPr>
          <w:bCs/>
        </w:rPr>
      </w:pPr>
      <w:r w:rsidRPr="00CF7E19">
        <w:rPr>
          <w:b/>
        </w:rPr>
        <w:t xml:space="preserve">Habiendo examinado también </w:t>
      </w:r>
      <w:r w:rsidR="00532149" w:rsidRPr="00CF7E19">
        <w:rPr>
          <w:bCs/>
        </w:rPr>
        <w:t xml:space="preserve">las recomendaciones pertinentes del Comité Consultivo de Finanzas (FINAC) en su </w:t>
      </w:r>
      <w:r w:rsidR="006C5F94" w:rsidRPr="00CF7E19">
        <w:t>cuadrag</w:t>
      </w:r>
      <w:r w:rsidR="002364A5" w:rsidRPr="00CF7E19">
        <w:t>é</w:t>
      </w:r>
      <w:r w:rsidR="006C5F94" w:rsidRPr="00CF7E19">
        <w:t>sima segunda</w:t>
      </w:r>
      <w:r w:rsidR="00DE7D86" w:rsidRPr="00CF7E19">
        <w:t xml:space="preserve"> reunión</w:t>
      </w:r>
      <w:r w:rsidR="006C5F94" w:rsidRPr="00CF7E19">
        <w:rPr>
          <w:bCs/>
        </w:rPr>
        <w:t xml:space="preserve"> </w:t>
      </w:r>
      <w:r w:rsidR="00532149" w:rsidRPr="00CF7E19">
        <w:rPr>
          <w:bCs/>
        </w:rPr>
        <w:t xml:space="preserve">(véase el documento </w:t>
      </w:r>
      <w:r w:rsidR="00730FC5" w:rsidRPr="00CF7E19">
        <w:rPr>
          <w:bCs/>
        </w:rPr>
        <w:br/>
      </w:r>
      <w:hyperlink r:id="rId20" w:history="1">
        <w:r w:rsidR="00532149" w:rsidRPr="00CF7E19">
          <w:rPr>
            <w:rStyle w:val="Hyperlink"/>
            <w:bCs/>
          </w:rPr>
          <w:t>EC-7</w:t>
        </w:r>
        <w:r w:rsidR="002364A5" w:rsidRPr="00CF7E19">
          <w:rPr>
            <w:rStyle w:val="Hyperlink"/>
            <w:bCs/>
          </w:rPr>
          <w:t>6</w:t>
        </w:r>
        <w:r w:rsidR="00532149" w:rsidRPr="00CF7E19">
          <w:rPr>
            <w:rStyle w:val="Hyperlink"/>
            <w:bCs/>
          </w:rPr>
          <w:t xml:space="preserve">/INF. </w:t>
        </w:r>
        <w:r w:rsidR="002364A5" w:rsidRPr="00CF7E19">
          <w:rPr>
            <w:rStyle w:val="Hyperlink"/>
            <w:bCs/>
          </w:rPr>
          <w:t>2.5/3)</w:t>
        </w:r>
      </w:hyperlink>
      <w:r w:rsidR="00532149" w:rsidRPr="00CF7E19">
        <w:rPr>
          <w:bCs/>
        </w:rPr>
        <w:t>)</w:t>
      </w:r>
      <w:r w:rsidR="002364A5" w:rsidRPr="00CF7E19">
        <w:rPr>
          <w:bCs/>
        </w:rPr>
        <w:t>,</w:t>
      </w:r>
    </w:p>
    <w:p w14:paraId="5DC4BBA3" w14:textId="2219EF95" w:rsidR="002364A5" w:rsidRPr="00CF7E19" w:rsidRDefault="002364A5" w:rsidP="00581CFE">
      <w:pPr>
        <w:pStyle w:val="WMOBodyText"/>
        <w:rPr>
          <w:bCs/>
        </w:rPr>
      </w:pPr>
      <w:r w:rsidRPr="00CF7E19">
        <w:rPr>
          <w:b/>
        </w:rPr>
        <w:t>Notando</w:t>
      </w:r>
      <w:r w:rsidRPr="00CF7E19">
        <w:rPr>
          <w:bCs/>
        </w:rPr>
        <w:t xml:space="preserve"> que las necesidades financieras del decimonoveno período financiero se financiarán con cargo tanto a contribuciones prorrateadas como a contribuciones voluntarias,</w:t>
      </w:r>
    </w:p>
    <w:p w14:paraId="4B2A11B6" w14:textId="37160EA1" w:rsidR="00581CFE" w:rsidRPr="00CF7E19" w:rsidRDefault="004342A8" w:rsidP="00581CFE">
      <w:pPr>
        <w:pStyle w:val="WMOBodyText"/>
        <w:rPr>
          <w:bCs/>
        </w:rPr>
      </w:pPr>
      <w:r w:rsidRPr="00CF7E19">
        <w:rPr>
          <w:b/>
        </w:rPr>
        <w:t xml:space="preserve">Recomienda </w:t>
      </w:r>
      <w:r w:rsidRPr="00CF7E19">
        <w:rPr>
          <w:bCs/>
        </w:rPr>
        <w:t>al Congreso</w:t>
      </w:r>
      <w:r w:rsidR="00DE7D86" w:rsidRPr="00CF7E19">
        <w:rPr>
          <w:bCs/>
        </w:rPr>
        <w:t xml:space="preserve"> Meteorológico Mundial</w:t>
      </w:r>
      <w:r w:rsidRPr="00CF7E19">
        <w:rPr>
          <w:bCs/>
        </w:rPr>
        <w:t xml:space="preserve"> que apruebe el proyecto de Resolución </w:t>
      </w:r>
      <w:r w:rsidRPr="00CF7E19">
        <w:t xml:space="preserve">##/1 (Cg-19) que figura en el </w:t>
      </w:r>
      <w:hyperlink w:anchor="AnexoRecomendación" w:history="1">
        <w:r w:rsidRPr="00CF7E19">
          <w:rPr>
            <w:rStyle w:val="Hyperlink"/>
          </w:rPr>
          <w:t>anexo</w:t>
        </w:r>
      </w:hyperlink>
      <w:r w:rsidRPr="00CF7E19">
        <w:t xml:space="preserve"> a la presente </w:t>
      </w:r>
      <w:r w:rsidR="00580F70">
        <w:t>R</w:t>
      </w:r>
      <w:r w:rsidRPr="00CF7E19">
        <w:t>ecomendación</w:t>
      </w:r>
      <w:r w:rsidR="00581CFE" w:rsidRPr="00CF7E19">
        <w:rPr>
          <w:bCs/>
        </w:rPr>
        <w:t>.</w:t>
      </w:r>
    </w:p>
    <w:p w14:paraId="27F65A4C" w14:textId="77777777" w:rsidR="00581CFE" w:rsidRPr="00CF7E19" w:rsidRDefault="00581CFE" w:rsidP="00581CFE">
      <w:pPr>
        <w:spacing w:before="480"/>
        <w:jc w:val="center"/>
        <w:rPr>
          <w:lang w:val="es-ES_tradnl"/>
        </w:rPr>
      </w:pPr>
      <w:r w:rsidRPr="00CF7E19">
        <w:rPr>
          <w:lang w:val="es-ES_tradnl"/>
        </w:rPr>
        <w:t>___________</w:t>
      </w:r>
    </w:p>
    <w:p w14:paraId="0655758D" w14:textId="77777777" w:rsidR="00581CFE" w:rsidRPr="00CF7E19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_tradnl" w:eastAsia="zh-TW"/>
        </w:rPr>
      </w:pPr>
      <w:r w:rsidRPr="00CF7E19">
        <w:rPr>
          <w:lang w:val="es-ES_tradnl"/>
        </w:rPr>
        <w:br w:type="page"/>
      </w:r>
    </w:p>
    <w:p w14:paraId="178B64E9" w14:textId="4BBDAA0A" w:rsidR="00581CFE" w:rsidRPr="00CF7E19" w:rsidRDefault="00581CFE" w:rsidP="00581CFE">
      <w:pPr>
        <w:spacing w:before="480"/>
        <w:jc w:val="center"/>
        <w:rPr>
          <w:b/>
          <w:bCs/>
          <w:sz w:val="22"/>
          <w:szCs w:val="22"/>
          <w:lang w:val="es-ES_tradnl"/>
        </w:rPr>
      </w:pPr>
      <w:bookmarkStart w:id="7" w:name="_Annex_to_draft_1"/>
      <w:bookmarkStart w:id="8" w:name="AnexoRecomendación"/>
      <w:bookmarkEnd w:id="7"/>
      <w:bookmarkEnd w:id="8"/>
      <w:r w:rsidRPr="00CF7E19">
        <w:rPr>
          <w:b/>
          <w:bCs/>
          <w:sz w:val="22"/>
          <w:szCs w:val="22"/>
          <w:lang w:val="es-ES_tradnl"/>
        </w:rPr>
        <w:lastRenderedPageBreak/>
        <w:t xml:space="preserve">Anexo al proyecto de Recomendación </w:t>
      </w:r>
      <w:r w:rsidR="00FB61C9" w:rsidRPr="00CF7E19">
        <w:rPr>
          <w:b/>
          <w:bCs/>
          <w:sz w:val="22"/>
          <w:szCs w:val="22"/>
          <w:lang w:val="es-ES_tradnl"/>
        </w:rPr>
        <w:t>5/</w:t>
      </w:r>
      <w:r w:rsidRPr="00CF7E19">
        <w:rPr>
          <w:b/>
          <w:bCs/>
          <w:sz w:val="22"/>
          <w:szCs w:val="22"/>
          <w:lang w:val="es-ES_tradnl"/>
        </w:rPr>
        <w:t>1 (EC-76)</w:t>
      </w:r>
    </w:p>
    <w:p w14:paraId="59AB0B72" w14:textId="6FF17513" w:rsidR="00581CFE" w:rsidRPr="00CF7E19" w:rsidRDefault="00FB61C9" w:rsidP="007E044C">
      <w:pPr>
        <w:spacing w:before="480" w:after="360"/>
        <w:jc w:val="center"/>
        <w:rPr>
          <w:b/>
          <w:bCs/>
          <w:sz w:val="22"/>
          <w:szCs w:val="22"/>
          <w:lang w:val="es-ES_tradnl"/>
        </w:rPr>
      </w:pPr>
      <w:r w:rsidRPr="00CF7E19">
        <w:rPr>
          <w:b/>
          <w:bCs/>
          <w:sz w:val="22"/>
          <w:szCs w:val="22"/>
          <w:lang w:val="es-ES_tradnl"/>
        </w:rPr>
        <w:t xml:space="preserve">Proyecto de Resolución </w:t>
      </w:r>
      <w:r w:rsidRPr="00CF7E19">
        <w:rPr>
          <w:b/>
          <w:bCs/>
          <w:lang w:val="es-ES_tradnl"/>
        </w:rPr>
        <w:t>##/1 (Cg-19)</w:t>
      </w:r>
    </w:p>
    <w:p w14:paraId="11E2F539" w14:textId="78DBCD8C" w:rsidR="00581CFE" w:rsidRPr="00CF7E19" w:rsidRDefault="00FB61C9" w:rsidP="007E044C">
      <w:pPr>
        <w:spacing w:before="480"/>
        <w:jc w:val="center"/>
        <w:rPr>
          <w:b/>
          <w:bCs/>
          <w:lang w:val="es-ES_tradnl"/>
        </w:rPr>
      </w:pPr>
      <w:r w:rsidRPr="00CF7E19">
        <w:rPr>
          <w:b/>
          <w:bCs/>
          <w:lang w:val="es-ES_tradnl"/>
        </w:rPr>
        <w:t>Cifra máxima de gastos para</w:t>
      </w:r>
      <w:bookmarkStart w:id="9" w:name="_GoBack"/>
      <w:bookmarkEnd w:id="9"/>
      <w:r w:rsidRPr="00CF7E19">
        <w:rPr>
          <w:b/>
          <w:bCs/>
          <w:lang w:val="es-ES_tradnl"/>
        </w:rPr>
        <w:t xml:space="preserve"> el decimonoveno período financiero (2024-2027)</w:t>
      </w:r>
    </w:p>
    <w:p w14:paraId="3EDB0CFF" w14:textId="1CB6C0D0" w:rsidR="004342A8" w:rsidRPr="00CF7E19" w:rsidRDefault="004342A8" w:rsidP="007E044C">
      <w:pPr>
        <w:pStyle w:val="WMOBodyText"/>
        <w:spacing w:before="480"/>
      </w:pPr>
      <w:r w:rsidRPr="00CF7E19">
        <w:t>EL CONGRESO METEOROLÓGICO MUNDIAL,</w:t>
      </w:r>
    </w:p>
    <w:p w14:paraId="279BF241" w14:textId="12971F71" w:rsidR="004342A8" w:rsidRPr="00CF7E19" w:rsidRDefault="00EC29D5" w:rsidP="004342A8">
      <w:pPr>
        <w:pStyle w:val="WMOBodyText"/>
      </w:pPr>
      <w:r w:rsidRPr="00CF7E19">
        <w:rPr>
          <w:b/>
        </w:rPr>
        <w:t>Haciendo notar</w:t>
      </w:r>
      <w:r w:rsidRPr="00CF7E19">
        <w:rPr>
          <w:bCs/>
        </w:rPr>
        <w:t>:</w:t>
      </w:r>
    </w:p>
    <w:p w14:paraId="24A9747E" w14:textId="5FC1DFFA" w:rsidR="004342A8" w:rsidRPr="00CF7E19" w:rsidRDefault="004342A8" w:rsidP="004342A8">
      <w:pPr>
        <w:pStyle w:val="WMOResList1"/>
      </w:pPr>
      <w:r w:rsidRPr="00CF7E19">
        <w:t>1)</w:t>
      </w:r>
      <w:r w:rsidRPr="00CF7E19">
        <w:tab/>
      </w:r>
      <w:r w:rsidR="00EC29D5" w:rsidRPr="00CF7E19">
        <w:t xml:space="preserve">el </w:t>
      </w:r>
      <w:hyperlink r:id="rId21" w:anchor="page=25" w:history="1">
        <w:r w:rsidR="00EC29D5" w:rsidRPr="00CF7E19">
          <w:rPr>
            <w:rStyle w:val="Hyperlink"/>
          </w:rPr>
          <w:t>Artículo 23</w:t>
        </w:r>
      </w:hyperlink>
      <w:r w:rsidR="00EC29D5" w:rsidRPr="00CF7E19">
        <w:t xml:space="preserve"> del Convenio de la Organización Meteorológica Mundial</w:t>
      </w:r>
      <w:r w:rsidRPr="00CF7E19">
        <w:t>,</w:t>
      </w:r>
      <w:r w:rsidR="00EC29D5" w:rsidRPr="00CF7E19">
        <w:t xml:space="preserve"> </w:t>
      </w:r>
      <w:r w:rsidR="00DE7D86" w:rsidRPr="00CF7E19">
        <w:t>(</w:t>
      </w:r>
      <w:r w:rsidR="00DE7D86" w:rsidRPr="00CF7E19">
        <w:rPr>
          <w:i/>
          <w:iCs/>
        </w:rPr>
        <w:t>Documentos fundamentales</w:t>
      </w:r>
      <w:r w:rsidR="00DE7D86" w:rsidRPr="00CF7E19">
        <w:t xml:space="preserve"> </w:t>
      </w:r>
      <w:r w:rsidR="00DE7D86" w:rsidRPr="00CF7E19">
        <w:rPr>
          <w:i/>
          <w:iCs/>
        </w:rPr>
        <w:t>Nº 1</w:t>
      </w:r>
      <w:r w:rsidR="00DE7D86" w:rsidRPr="00CF7E19">
        <w:t xml:space="preserve"> (OMM-Nº 15))</w:t>
      </w:r>
      <w:r w:rsidR="008546E7" w:rsidRPr="00CF7E19">
        <w:t>,</w:t>
      </w:r>
    </w:p>
    <w:p w14:paraId="6AE585DC" w14:textId="13AC9AF8" w:rsidR="00EC29D5" w:rsidRPr="00CF7E19" w:rsidRDefault="00EC29D5" w:rsidP="004342A8">
      <w:pPr>
        <w:pStyle w:val="WMOResList1"/>
      </w:pPr>
      <w:r w:rsidRPr="00CF7E19">
        <w:t>2)</w:t>
      </w:r>
      <w:r w:rsidRPr="00CF7E19">
        <w:tab/>
        <w:t xml:space="preserve">el </w:t>
      </w:r>
      <w:hyperlink r:id="rId22" w:anchor="page=126" w:history="1">
        <w:r w:rsidRPr="00CF7E19">
          <w:rPr>
            <w:rStyle w:val="Hyperlink"/>
          </w:rPr>
          <w:t>Artículo 4</w:t>
        </w:r>
      </w:hyperlink>
      <w:r w:rsidRPr="00CF7E19">
        <w:t xml:space="preserve"> del Reglamento Financiero de la Organización, </w:t>
      </w:r>
      <w:r w:rsidR="008546E7" w:rsidRPr="00CF7E19">
        <w:t>(</w:t>
      </w:r>
      <w:r w:rsidR="008546E7" w:rsidRPr="00CF7E19">
        <w:rPr>
          <w:i/>
          <w:iCs/>
        </w:rPr>
        <w:t>Documentos fundamentales</w:t>
      </w:r>
      <w:r w:rsidR="008546E7" w:rsidRPr="00CF7E19">
        <w:t xml:space="preserve"> </w:t>
      </w:r>
      <w:r w:rsidR="008546E7" w:rsidRPr="00CF7E19">
        <w:rPr>
          <w:i/>
          <w:iCs/>
        </w:rPr>
        <w:t>Nº 1</w:t>
      </w:r>
      <w:r w:rsidR="008546E7" w:rsidRPr="00CF7E19">
        <w:t xml:space="preserve"> (OMM-Nº 15)),</w:t>
      </w:r>
    </w:p>
    <w:p w14:paraId="5D1C0440" w14:textId="2BBA6964" w:rsidR="00EC29D5" w:rsidRPr="00CF7E19" w:rsidRDefault="00EC29D5" w:rsidP="004342A8">
      <w:pPr>
        <w:pStyle w:val="WMOResList1"/>
      </w:pPr>
      <w:r w:rsidRPr="00CF7E19">
        <w:t>3)</w:t>
      </w:r>
      <w:r w:rsidRPr="00CF7E19">
        <w:tab/>
        <w:t xml:space="preserve">el proyecto de Recomendación 5/1 (EC-76) </w:t>
      </w:r>
      <w:r w:rsidR="00BE3BEC" w:rsidRPr="00CF7E19">
        <w:t>—</w:t>
      </w:r>
      <w:r w:rsidRPr="00CF7E19">
        <w:t xml:space="preserve"> Cifra máxima de gastos para el decimonoveno período financiero </w:t>
      </w:r>
      <w:r w:rsidR="00BE3BEC" w:rsidRPr="00CF7E19">
        <w:t>(2024-2027)</w:t>
      </w:r>
      <w:r w:rsidRPr="00CF7E19">
        <w:t>,</w:t>
      </w:r>
    </w:p>
    <w:p w14:paraId="721256A9" w14:textId="092D9B5D" w:rsidR="00EC29D5" w:rsidRPr="00CF7E19" w:rsidRDefault="00EC29D5" w:rsidP="004342A8">
      <w:pPr>
        <w:pStyle w:val="WMOResList1"/>
      </w:pPr>
      <w:r w:rsidRPr="00CF7E19">
        <w:t>4)</w:t>
      </w:r>
      <w:r w:rsidRPr="00CF7E19">
        <w:tab/>
        <w:t xml:space="preserve">el </w:t>
      </w:r>
      <w:hyperlink r:id="rId23" w:history="1">
        <w:r w:rsidR="00BE3BEC" w:rsidRPr="00CF7E19">
          <w:rPr>
            <w:rStyle w:val="Hyperlink"/>
          </w:rPr>
          <w:t>proyecto de Resolución ##/1 (Cg-19)</w:t>
        </w:r>
      </w:hyperlink>
      <w:r w:rsidR="00BE3BEC" w:rsidRPr="00CF7E19">
        <w:t xml:space="preserve"> — Plan Estratégico de la OMM</w:t>
      </w:r>
      <w:r w:rsidRPr="00CF7E19">
        <w:t>,</w:t>
      </w:r>
    </w:p>
    <w:p w14:paraId="0F60F10A" w14:textId="67C232F1" w:rsidR="00EC29D5" w:rsidRPr="00CF7E19" w:rsidRDefault="00EC29D5" w:rsidP="00EC29D5">
      <w:pPr>
        <w:pStyle w:val="WMOResList1"/>
        <w:ind w:left="0" w:firstLine="0"/>
      </w:pPr>
      <w:r w:rsidRPr="00CF7E19">
        <w:t>5)</w:t>
      </w:r>
      <w:r w:rsidRPr="00CF7E19">
        <w:tab/>
        <w:t xml:space="preserve">el </w:t>
      </w:r>
      <w:r w:rsidR="00BE3BEC" w:rsidRPr="00CF7E19">
        <w:t>Plan de Funcionamiento de la OMM para 2024–2027</w:t>
      </w:r>
      <w:r w:rsidR="008546E7" w:rsidRPr="00CF7E19">
        <w:t xml:space="preserve"> (</w:t>
      </w:r>
      <w:hyperlink r:id="rId24" w:history="1">
        <w:r w:rsidR="008546E7" w:rsidRPr="00CF7E19">
          <w:rPr>
            <w:rStyle w:val="Hyperlink"/>
          </w:rPr>
          <w:t>Cg-19/INF. 3(3)</w:t>
        </w:r>
      </w:hyperlink>
      <w:r w:rsidR="008546E7" w:rsidRPr="00CF7E19">
        <w:t>),</w:t>
      </w:r>
    </w:p>
    <w:p w14:paraId="62A92FC9" w14:textId="5F9ACB79" w:rsidR="004342A8" w:rsidRPr="00CF7E19" w:rsidRDefault="00EC29D5" w:rsidP="00EC29D5">
      <w:pPr>
        <w:pStyle w:val="WMOResList1"/>
      </w:pPr>
      <w:r w:rsidRPr="00CF7E19">
        <w:t>6)</w:t>
      </w:r>
      <w:r w:rsidRPr="00CF7E19">
        <w:tab/>
        <w:t xml:space="preserve">el </w:t>
      </w:r>
      <w:r w:rsidR="00BE3BEC" w:rsidRPr="00CF7E19">
        <w:t>informe del Comité Consultivo de Finanzas (FINAC) (</w:t>
      </w:r>
      <w:hyperlink r:id="rId25" w:history="1">
        <w:r w:rsidR="008546E7" w:rsidRPr="00CF7E19">
          <w:rPr>
            <w:rStyle w:val="Hyperlink"/>
          </w:rPr>
          <w:t>Cg-19/INF. ##</w:t>
        </w:r>
      </w:hyperlink>
      <w:r w:rsidR="00BE3BEC" w:rsidRPr="00CF7E19">
        <w:t>)</w:t>
      </w:r>
      <w:r w:rsidRPr="00CF7E19">
        <w:t>,</w:t>
      </w:r>
    </w:p>
    <w:p w14:paraId="0F9B1F91" w14:textId="3A6C0A09" w:rsidR="004342A8" w:rsidRPr="00CF7E19" w:rsidRDefault="00BE3BEC" w:rsidP="004342A8">
      <w:pPr>
        <w:pStyle w:val="WMOBodyText"/>
      </w:pPr>
      <w:r w:rsidRPr="00CF7E19">
        <w:rPr>
          <w:b/>
          <w:bCs/>
          <w:color w:val="000000"/>
        </w:rPr>
        <w:t>Considerando</w:t>
      </w:r>
      <w:r w:rsidRPr="00CF7E19">
        <w:t xml:space="preserve"> las metas a largo plazo y los objetivos estratégicos </w:t>
      </w:r>
      <w:r w:rsidR="00EB69FD" w:rsidRPr="00CF7E19">
        <w:t>fijados</w:t>
      </w:r>
      <w:r w:rsidRPr="00CF7E19">
        <w:t xml:space="preserve"> en el Plan Estratégico de la OMM (</w:t>
      </w:r>
      <w:hyperlink r:id="rId26" w:history="1">
        <w:r w:rsidR="00EB69FD" w:rsidRPr="00CF7E19">
          <w:rPr>
            <w:rStyle w:val="Hyperlink"/>
          </w:rPr>
          <w:t xml:space="preserve">proyecto de </w:t>
        </w:r>
        <w:r w:rsidRPr="00CF7E19">
          <w:rPr>
            <w:rStyle w:val="Hyperlink"/>
          </w:rPr>
          <w:t xml:space="preserve">Resolución </w:t>
        </w:r>
        <w:r w:rsidR="00EB69FD" w:rsidRPr="00CF7E19">
          <w:rPr>
            <w:rStyle w:val="Hyperlink"/>
          </w:rPr>
          <w:t>##/1 (Cg-19)</w:t>
        </w:r>
      </w:hyperlink>
      <w:r w:rsidRPr="00CF7E19">
        <w:t>),</w:t>
      </w:r>
    </w:p>
    <w:p w14:paraId="60CE4B77" w14:textId="01C1B7D5" w:rsidR="00EB69FD" w:rsidRPr="00CF7E19" w:rsidRDefault="00EB69FD" w:rsidP="004342A8">
      <w:pPr>
        <w:pStyle w:val="WMOBodyText"/>
      </w:pPr>
      <w:r w:rsidRPr="00CF7E19">
        <w:rPr>
          <w:b/>
          <w:bCs/>
        </w:rPr>
        <w:t>Autoriza</w:t>
      </w:r>
      <w:r w:rsidRPr="00CF7E19">
        <w:t xml:space="preserve"> al Consejo Ejecutivo a que, durante el decimo</w:t>
      </w:r>
      <w:r w:rsidR="00AB4D6B" w:rsidRPr="00CF7E19">
        <w:t>noveno</w:t>
      </w:r>
      <w:r w:rsidRPr="00CF7E19">
        <w:t xml:space="preserve"> período financiero, del 1 de enero de 202</w:t>
      </w:r>
      <w:r w:rsidR="00AB4D6B" w:rsidRPr="00CF7E19">
        <w:t>4</w:t>
      </w:r>
      <w:r w:rsidRPr="00CF7E19">
        <w:t xml:space="preserve"> al 31 de diciembre de 202</w:t>
      </w:r>
      <w:r w:rsidR="00AB4D6B" w:rsidRPr="00CF7E19">
        <w:t>7</w:t>
      </w:r>
      <w:r w:rsidRPr="00CF7E19">
        <w:t>:</w:t>
      </w:r>
    </w:p>
    <w:p w14:paraId="307A5109" w14:textId="1A8EF1B6" w:rsidR="00EB69FD" w:rsidRPr="00CF7E19" w:rsidRDefault="00EB69FD" w:rsidP="00EB69FD">
      <w:pPr>
        <w:pStyle w:val="WMOResList1"/>
      </w:pPr>
      <w:r w:rsidRPr="00CF7E19">
        <w:t>1)</w:t>
      </w:r>
      <w:r w:rsidRPr="00CF7E19">
        <w:tab/>
      </w:r>
      <w:r w:rsidR="00561EBC" w:rsidRPr="00CF7E19">
        <w:t>efectúe gastos por una c</w:t>
      </w:r>
      <w:r w:rsidR="00AB4D6B" w:rsidRPr="00CF7E19">
        <w:t>ifra</w:t>
      </w:r>
      <w:r w:rsidR="00561EBC" w:rsidRPr="00CF7E19">
        <w:t xml:space="preserve"> máxima de </w:t>
      </w:r>
      <w:r w:rsidR="00AB4D6B" w:rsidRPr="00CF7E19">
        <w:t>290 396 400 </w:t>
      </w:r>
      <w:r w:rsidR="00561EBC" w:rsidRPr="00CF7E19">
        <w:t>francos suizos</w:t>
      </w:r>
      <w:r w:rsidR="00AB4D6B" w:rsidRPr="00CF7E19">
        <w:t xml:space="preserve"> [</w:t>
      </w:r>
      <w:r w:rsidR="00AB4D6B" w:rsidRPr="00CF7E19">
        <w:rPr>
          <w:i/>
          <w:iCs/>
        </w:rPr>
        <w:t>según decida el Congreso</w:t>
      </w:r>
      <w:r w:rsidR="00AB4D6B" w:rsidRPr="00CF7E19">
        <w:t>]</w:t>
      </w:r>
      <w:r w:rsidR="00561EBC" w:rsidRPr="00CF7E19">
        <w:t xml:space="preserve">, que se financiará </w:t>
      </w:r>
      <w:r w:rsidR="00AB4D6B" w:rsidRPr="00CF7E19">
        <w:t xml:space="preserve">con cargo a </w:t>
      </w:r>
      <w:r w:rsidR="00561EBC" w:rsidRPr="00CF7E19">
        <w:t>contribuciones prorrateadas</w:t>
      </w:r>
      <w:r w:rsidR="00AB4D6B" w:rsidRPr="00CF7E19">
        <w:t>;</w:t>
      </w:r>
    </w:p>
    <w:p w14:paraId="5F839145" w14:textId="78086AB4" w:rsidR="00EB69FD" w:rsidRPr="00CF7E19" w:rsidRDefault="00EB69FD" w:rsidP="00EB69FD">
      <w:pPr>
        <w:pStyle w:val="WMOResList1"/>
      </w:pPr>
      <w:r w:rsidRPr="00CF7E19">
        <w:t>2)</w:t>
      </w:r>
      <w:r w:rsidRPr="00CF7E19">
        <w:tab/>
      </w:r>
      <w:r w:rsidR="00561EBC" w:rsidRPr="00CF7E19">
        <w:t xml:space="preserve">distribuya los recursos del presupuesto ordinario de conformidad con las partidas de asignación presupuestaria que se recogen en el </w:t>
      </w:r>
      <w:hyperlink w:anchor="OLE_LINK1" w:history="1">
        <w:r w:rsidR="00561EBC" w:rsidRPr="00CF7E19">
          <w:rPr>
            <w:rStyle w:val="Hyperlink"/>
          </w:rPr>
          <w:t>anexo</w:t>
        </w:r>
      </w:hyperlink>
      <w:r w:rsidR="00561EBC" w:rsidRPr="00CF7E19">
        <w:t xml:space="preserve"> a la presente Resolución</w:t>
      </w:r>
      <w:r w:rsidR="008546E7" w:rsidRPr="00CF7E19">
        <w:t>;</w:t>
      </w:r>
    </w:p>
    <w:p w14:paraId="5568FD73" w14:textId="50CEC95E" w:rsidR="00EB69FD" w:rsidRPr="00CF7E19" w:rsidRDefault="00EB69FD" w:rsidP="00EB69FD">
      <w:pPr>
        <w:pStyle w:val="WMOResList1"/>
      </w:pPr>
      <w:r w:rsidRPr="00CF7E19">
        <w:t>3)</w:t>
      </w:r>
      <w:r w:rsidRPr="00CF7E19">
        <w:tab/>
      </w:r>
      <w:r w:rsidR="00561EBC" w:rsidRPr="00CF7E19">
        <w:t>apruebe las asignaciones bienales para 202</w:t>
      </w:r>
      <w:r w:rsidR="00CB529B" w:rsidRPr="00CF7E19">
        <w:t>4</w:t>
      </w:r>
      <w:r w:rsidR="00561EBC" w:rsidRPr="00CF7E19">
        <w:t>/202</w:t>
      </w:r>
      <w:r w:rsidR="00CB529B" w:rsidRPr="00CF7E19">
        <w:t>5</w:t>
      </w:r>
      <w:r w:rsidR="00561EBC" w:rsidRPr="00CF7E19">
        <w:t xml:space="preserve"> y 202</w:t>
      </w:r>
      <w:r w:rsidR="00CB529B" w:rsidRPr="00CF7E19">
        <w:t>6</w:t>
      </w:r>
      <w:r w:rsidR="00561EBC" w:rsidRPr="00CF7E19">
        <w:t>/202</w:t>
      </w:r>
      <w:r w:rsidR="00CB529B" w:rsidRPr="00CF7E19">
        <w:t>7</w:t>
      </w:r>
      <w:r w:rsidR="00561EBC" w:rsidRPr="00CF7E19">
        <w:t xml:space="preserve"> dentro de esos límites</w:t>
      </w:r>
      <w:r w:rsidR="00CB529B" w:rsidRPr="00CF7E19">
        <w:t>;</w:t>
      </w:r>
    </w:p>
    <w:p w14:paraId="7319A4BB" w14:textId="73751361" w:rsidR="00EB69FD" w:rsidRPr="00CF7E19" w:rsidRDefault="00561EBC" w:rsidP="00BE3BEC">
      <w:pPr>
        <w:pStyle w:val="WMOIndent4"/>
        <w:ind w:left="0" w:firstLine="0"/>
        <w:rPr>
          <w:b/>
        </w:rPr>
      </w:pPr>
      <w:r w:rsidRPr="00CF7E19">
        <w:rPr>
          <w:b/>
        </w:rPr>
        <w:t xml:space="preserve">Autoriza también </w:t>
      </w:r>
      <w:r w:rsidRPr="00CF7E19">
        <w:rPr>
          <w:bCs/>
        </w:rPr>
        <w:t xml:space="preserve">al Consejo Ejecutivo a </w:t>
      </w:r>
      <w:r w:rsidR="00CB529B" w:rsidRPr="00CF7E19">
        <w:rPr>
          <w:bCs/>
        </w:rPr>
        <w:t>efectuar</w:t>
      </w:r>
      <w:r w:rsidRPr="00CF7E19">
        <w:rPr>
          <w:bCs/>
        </w:rPr>
        <w:t xml:space="preserve"> otros gastos con cargo a recursos voluntarios que contribuyan a mejorar la ejecución de las actividades programáticas</w:t>
      </w:r>
      <w:r w:rsidR="00CB529B" w:rsidRPr="00CF7E19">
        <w:rPr>
          <w:bCs/>
        </w:rPr>
        <w:t>,</w:t>
      </w:r>
      <w:r w:rsidRPr="00CF7E19">
        <w:rPr>
          <w:bCs/>
        </w:rPr>
        <w:t xml:space="preserve"> </w:t>
      </w:r>
      <w:r w:rsidR="008546E7" w:rsidRPr="00CF7E19">
        <w:rPr>
          <w:bCs/>
        </w:rPr>
        <w:t>en consonancia</w:t>
      </w:r>
      <w:r w:rsidRPr="00CF7E19">
        <w:rPr>
          <w:bCs/>
        </w:rPr>
        <w:t xml:space="preserve"> con el Plan Estratégico, con inclusión de las iniciativas y los programas copatrocinados</w:t>
      </w:r>
      <w:r w:rsidR="00CB529B" w:rsidRPr="00CF7E19">
        <w:rPr>
          <w:bCs/>
        </w:rPr>
        <w:t>;</w:t>
      </w:r>
    </w:p>
    <w:p w14:paraId="68B4C9F5" w14:textId="00903CA8" w:rsidR="00561EBC" w:rsidRPr="00CF7E19" w:rsidRDefault="00CB529B" w:rsidP="00BE3BEC">
      <w:pPr>
        <w:pStyle w:val="WMOIndent4"/>
        <w:ind w:left="0" w:firstLine="0"/>
        <w:rPr>
          <w:bCs/>
        </w:rPr>
      </w:pPr>
      <w:r w:rsidRPr="00CF7E19">
        <w:rPr>
          <w:b/>
        </w:rPr>
        <w:t>Solicita</w:t>
      </w:r>
      <w:r w:rsidR="00561EBC" w:rsidRPr="00CF7E19">
        <w:rPr>
          <w:b/>
        </w:rPr>
        <w:t xml:space="preserve"> </w:t>
      </w:r>
      <w:r w:rsidR="00561EBC" w:rsidRPr="00CF7E19">
        <w:rPr>
          <w:bCs/>
        </w:rPr>
        <w:t>al Secretario General que supervise la ejecución del Plan de Funcionamiento tanto en lo que se refiere a los resultados como a los productos, de conformidad con el Sistema de Seguimiento y Evaluación de la OMM, en particular en relación con el uso de los recursos presupuestarios</w:t>
      </w:r>
      <w:r w:rsidRPr="00CF7E19">
        <w:rPr>
          <w:bCs/>
        </w:rPr>
        <w:t>;</w:t>
      </w:r>
    </w:p>
    <w:p w14:paraId="28092EFD" w14:textId="77777777" w:rsidR="007E044C" w:rsidRDefault="007E044C">
      <w:pPr>
        <w:tabs>
          <w:tab w:val="clear" w:pos="1134"/>
        </w:tabs>
        <w:jc w:val="left"/>
        <w:rPr>
          <w:rFonts w:eastAsia="Times New Roman" w:cs="Times New Roman"/>
          <w:b/>
          <w:lang w:val="es-ES_tradnl" w:eastAsia="zh-TW"/>
        </w:rPr>
      </w:pPr>
      <w:r w:rsidRPr="00580F70">
        <w:rPr>
          <w:b/>
          <w:lang w:val="es-ES"/>
        </w:rPr>
        <w:br w:type="page"/>
      </w:r>
    </w:p>
    <w:p w14:paraId="2F55D2F3" w14:textId="170EA629" w:rsidR="00561EBC" w:rsidRPr="00CF7E19" w:rsidRDefault="00561EBC" w:rsidP="00BE3BEC">
      <w:pPr>
        <w:pStyle w:val="WMOIndent4"/>
        <w:ind w:left="0" w:firstLine="0"/>
        <w:rPr>
          <w:bCs/>
        </w:rPr>
      </w:pPr>
      <w:r w:rsidRPr="00CF7E19">
        <w:rPr>
          <w:b/>
        </w:rPr>
        <w:lastRenderedPageBreak/>
        <w:t xml:space="preserve">Invita </w:t>
      </w:r>
      <w:r w:rsidRPr="00CF7E19">
        <w:rPr>
          <w:bCs/>
        </w:rPr>
        <w:t>a los Miembros a que consideren la posibilidad de contribuir, mediante la aportación voluntaria de recursos, a acelerar y/o ampliar la ejecución de las metas a largo plazo y los objetivos estratégicos del Plan Estratégico para 202</w:t>
      </w:r>
      <w:r w:rsidR="00682895" w:rsidRPr="00CF7E19">
        <w:rPr>
          <w:bCs/>
        </w:rPr>
        <w:t>4</w:t>
      </w:r>
      <w:r w:rsidRPr="00CF7E19">
        <w:rPr>
          <w:bCs/>
        </w:rPr>
        <w:t>-202</w:t>
      </w:r>
      <w:r w:rsidR="00682895" w:rsidRPr="00CF7E19">
        <w:rPr>
          <w:bCs/>
        </w:rPr>
        <w:t>7.</w:t>
      </w:r>
    </w:p>
    <w:p w14:paraId="2DDE4B19" w14:textId="77777777" w:rsidR="00561EBC" w:rsidRPr="00CF7E19" w:rsidRDefault="00561EBC" w:rsidP="007E044C">
      <w:pPr>
        <w:spacing w:before="360" w:after="480"/>
        <w:jc w:val="center"/>
        <w:rPr>
          <w:lang w:val="es-ES_tradnl"/>
        </w:rPr>
      </w:pPr>
      <w:r w:rsidRPr="00CF7E19">
        <w:rPr>
          <w:lang w:val="es-ES_tradnl"/>
        </w:rPr>
        <w:t>___________</w:t>
      </w:r>
    </w:p>
    <w:p w14:paraId="43F3C3B1" w14:textId="0D4C367F" w:rsidR="00561EBC" w:rsidRPr="00CF7E19" w:rsidRDefault="00580F70" w:rsidP="007E044C">
      <w:pPr>
        <w:pStyle w:val="WMOBodyText"/>
        <w:spacing w:before="120"/>
      </w:pPr>
      <w:hyperlink w:anchor="OLE_LINK1" w:history="1">
        <w:r w:rsidR="00561EBC" w:rsidRPr="00CF7E19">
          <w:rPr>
            <w:rStyle w:val="Hyperlink"/>
          </w:rPr>
          <w:t>Anexo: 1</w:t>
        </w:r>
      </w:hyperlink>
    </w:p>
    <w:p w14:paraId="79A72D52" w14:textId="77777777" w:rsidR="00561EBC" w:rsidRPr="00CF7E19" w:rsidRDefault="00561EBC" w:rsidP="00561EBC">
      <w:pPr>
        <w:pStyle w:val="WMONote"/>
      </w:pPr>
      <w:r w:rsidRPr="00CF7E19">
        <w:t>_______</w:t>
      </w:r>
    </w:p>
    <w:p w14:paraId="1D82A2B2" w14:textId="73AA39DF" w:rsidR="00561EBC" w:rsidRPr="00CF7E19" w:rsidRDefault="00561EBC" w:rsidP="00D52574">
      <w:pPr>
        <w:pStyle w:val="WMONote"/>
        <w:spacing w:before="120"/>
        <w:ind w:left="680" w:hanging="680"/>
      </w:pPr>
      <w:r w:rsidRPr="00CF7E19">
        <w:t>Nota:</w:t>
      </w:r>
      <w:r w:rsidRPr="00CF7E19">
        <w:tab/>
        <w:t xml:space="preserve">La presente </w:t>
      </w:r>
      <w:r w:rsidR="000A2BC9" w:rsidRPr="00CF7E19">
        <w:t>R</w:t>
      </w:r>
      <w:r w:rsidRPr="00CF7E19">
        <w:t xml:space="preserve">esolución sustituye a la </w:t>
      </w:r>
      <w:hyperlink r:id="rId27" w:anchor="page=36" w:history="1">
        <w:r w:rsidRPr="00C336B2">
          <w:rPr>
            <w:rStyle w:val="Hyperlink"/>
          </w:rPr>
          <w:t xml:space="preserve">Resolución </w:t>
        </w:r>
        <w:r w:rsidR="00682895" w:rsidRPr="00C336B2">
          <w:rPr>
            <w:rStyle w:val="Hyperlink"/>
          </w:rPr>
          <w:t>2</w:t>
        </w:r>
        <w:r w:rsidRPr="00C336B2">
          <w:rPr>
            <w:rStyle w:val="Hyperlink"/>
          </w:rPr>
          <w:t xml:space="preserve"> (</w:t>
        </w:r>
        <w:r w:rsidR="00682895" w:rsidRPr="00C336B2">
          <w:rPr>
            <w:rStyle w:val="Hyperlink"/>
          </w:rPr>
          <w:t>Cg-18</w:t>
        </w:r>
        <w:r w:rsidRPr="00C336B2">
          <w:rPr>
            <w:rStyle w:val="Hyperlink"/>
          </w:rPr>
          <w:t>)</w:t>
        </w:r>
      </w:hyperlink>
      <w:r w:rsidR="00682895" w:rsidRPr="00CF7E19">
        <w:t xml:space="preserve"> — Cuantía máxima de los gastos durante el decimoctavo período financiero (2020-2023)</w:t>
      </w:r>
      <w:r w:rsidRPr="00CF7E19">
        <w:t>, que deja</w:t>
      </w:r>
      <w:r w:rsidR="00EB2BF3" w:rsidRPr="00CF7E19">
        <w:t>rá</w:t>
      </w:r>
      <w:r w:rsidRPr="00CF7E19">
        <w:t xml:space="preserve"> de estar en vigor</w:t>
      </w:r>
      <w:r w:rsidR="00682895" w:rsidRPr="00CF7E19">
        <w:t xml:space="preserve"> a partir del 1 de enero de 2024</w:t>
      </w:r>
      <w:r w:rsidRPr="00CF7E19">
        <w:t>.</w:t>
      </w:r>
    </w:p>
    <w:p w14:paraId="67D3FB15" w14:textId="77777777" w:rsidR="004342A8" w:rsidRPr="00CF7E19" w:rsidRDefault="004342A8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_tradnl" w:eastAsia="zh-TW"/>
        </w:rPr>
      </w:pPr>
      <w:r w:rsidRPr="00CF7E19">
        <w:rPr>
          <w:lang w:val="es-ES_tradnl"/>
        </w:rPr>
        <w:br w:type="page"/>
      </w:r>
    </w:p>
    <w:p w14:paraId="379FC34E" w14:textId="0E7343F6" w:rsidR="00AB53A2" w:rsidRPr="00CF7E19" w:rsidRDefault="00AB53A2" w:rsidP="00AB53A2">
      <w:pPr>
        <w:spacing w:before="480"/>
        <w:jc w:val="center"/>
        <w:rPr>
          <w:b/>
          <w:bCs/>
          <w:sz w:val="22"/>
          <w:szCs w:val="22"/>
          <w:lang w:val="es-ES_tradnl"/>
        </w:rPr>
      </w:pPr>
      <w:r w:rsidRPr="00CF7E19">
        <w:rPr>
          <w:b/>
          <w:bCs/>
          <w:sz w:val="22"/>
          <w:szCs w:val="22"/>
          <w:lang w:val="es-ES_tradnl"/>
        </w:rPr>
        <w:lastRenderedPageBreak/>
        <w:t>Anexo al proyecto de Re</w:t>
      </w:r>
      <w:r w:rsidR="00682895" w:rsidRPr="00CF7E19">
        <w:rPr>
          <w:b/>
          <w:bCs/>
          <w:sz w:val="22"/>
          <w:szCs w:val="22"/>
          <w:lang w:val="es-ES_tradnl"/>
        </w:rPr>
        <w:t>solución</w:t>
      </w:r>
      <w:r w:rsidRPr="00CF7E19">
        <w:rPr>
          <w:b/>
          <w:bCs/>
          <w:sz w:val="22"/>
          <w:szCs w:val="22"/>
          <w:lang w:val="es-ES_tradnl"/>
        </w:rPr>
        <w:t xml:space="preserve"> </w:t>
      </w:r>
      <w:r w:rsidR="00682895" w:rsidRPr="00CF7E19">
        <w:rPr>
          <w:b/>
          <w:bCs/>
          <w:sz w:val="22"/>
          <w:szCs w:val="22"/>
          <w:lang w:val="es-ES_tradnl"/>
        </w:rPr>
        <w:t>##/1 (Cg-19)</w:t>
      </w:r>
    </w:p>
    <w:p w14:paraId="12DAB85B" w14:textId="365F1433" w:rsidR="00682895" w:rsidRPr="00CF7E19" w:rsidRDefault="00827CC0" w:rsidP="00682895">
      <w:pPr>
        <w:pStyle w:val="Heading3"/>
        <w:spacing w:before="480" w:after="0"/>
        <w:jc w:val="center"/>
      </w:pPr>
      <w:bookmarkStart w:id="10" w:name="_Toc12443916"/>
      <w:bookmarkStart w:id="11" w:name="_Toc12445008"/>
      <w:r w:rsidRPr="00CF7E19">
        <w:t>CIFRA MÁXIMA DE GASTOS PARA 2024-20</w:t>
      </w:r>
      <w:r w:rsidR="00C336B2">
        <w:t>2</w:t>
      </w:r>
      <w:r w:rsidRPr="00CF7E19">
        <w:t>7 POR PARTIDA</w:t>
      </w:r>
      <w:r w:rsidRPr="00CF7E19">
        <w:br/>
        <w:t>DE ASIGNACIÓN PRESUPUESTARIA</w:t>
      </w:r>
      <w:bookmarkEnd w:id="10"/>
      <w:bookmarkEnd w:id="11"/>
    </w:p>
    <w:p w14:paraId="34314966" w14:textId="5BB6CE02" w:rsidR="00AB53A2" w:rsidRPr="00CF7E19" w:rsidRDefault="00682895" w:rsidP="00C336B2">
      <w:pPr>
        <w:spacing w:after="360"/>
        <w:jc w:val="center"/>
        <w:rPr>
          <w:b/>
          <w:bCs/>
          <w:lang w:val="es-ES_tradnl"/>
        </w:rPr>
      </w:pPr>
      <w:r w:rsidRPr="00CF7E19">
        <w:rPr>
          <w:b/>
          <w:bCs/>
          <w:lang w:val="es-ES_tradnl"/>
        </w:rPr>
        <w:t>(en francos suizos)</w:t>
      </w:r>
    </w:p>
    <w:tbl>
      <w:tblPr>
        <w:tblW w:w="5000" w:type="pct"/>
        <w:shd w:val="clear" w:color="auto" w:fill="FFFFFF" w:themeFill="background1"/>
        <w:tblLook w:val="01E0" w:firstRow="1" w:lastRow="1" w:firstColumn="1" w:lastColumn="1" w:noHBand="0" w:noVBand="0"/>
      </w:tblPr>
      <w:tblGrid>
        <w:gridCol w:w="6412"/>
        <w:gridCol w:w="3227"/>
      </w:tblGrid>
      <w:tr w:rsidR="00827CC0" w:rsidRPr="00CF7E19" w14:paraId="48943A54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7A065185" w14:textId="7DEEBDDF" w:rsidR="00827CC0" w:rsidRPr="00CF7E19" w:rsidRDefault="00827CC0" w:rsidP="004C65C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240" w:after="240" w:line="240" w:lineRule="atLeast"/>
              <w:rPr>
                <w:b/>
                <w:lang w:val="es-ES_tradnl" w:eastAsia="zh-CN"/>
              </w:rPr>
            </w:pPr>
            <w:r w:rsidRPr="00CF7E19">
              <w:rPr>
                <w:b/>
                <w:lang w:val="es-ES_tradnl" w:eastAsia="zh-CN"/>
              </w:rPr>
              <w:t>Partidas de asignación presupuestaria</w:t>
            </w:r>
          </w:p>
        </w:tc>
        <w:tc>
          <w:tcPr>
            <w:tcW w:w="1674" w:type="pct"/>
            <w:shd w:val="clear" w:color="auto" w:fill="FFFFFF" w:themeFill="background1"/>
            <w:vAlign w:val="bottom"/>
          </w:tcPr>
          <w:p w14:paraId="41788BB3" w14:textId="31C995FA" w:rsidR="00827CC0" w:rsidRPr="00CF7E19" w:rsidRDefault="00827CC0" w:rsidP="004C65C4">
            <w:pPr>
              <w:tabs>
                <w:tab w:val="left" w:pos="8800"/>
                <w:tab w:val="right" w:pos="9639"/>
              </w:tabs>
              <w:spacing w:before="240" w:after="240" w:line="240" w:lineRule="atLeast"/>
              <w:jc w:val="center"/>
              <w:rPr>
                <w:b/>
                <w:lang w:val="es-ES_tradnl" w:eastAsia="zh-CN"/>
              </w:rPr>
            </w:pPr>
            <w:r w:rsidRPr="00CF7E19">
              <w:rPr>
                <w:b/>
                <w:lang w:val="es-ES_tradnl" w:eastAsia="zh-CN"/>
              </w:rPr>
              <w:t>Cifra máxima de gastos</w:t>
            </w:r>
            <w:r w:rsidR="004C65C4">
              <w:rPr>
                <w:b/>
                <w:lang w:val="es-ES_tradnl" w:eastAsia="zh-CN"/>
              </w:rPr>
              <w:br/>
            </w:r>
            <w:r w:rsidRPr="00CF7E19">
              <w:rPr>
                <w:b/>
                <w:lang w:val="es-ES_tradnl" w:eastAsia="zh-CN"/>
              </w:rPr>
              <w:t>2024–2027</w:t>
            </w:r>
          </w:p>
        </w:tc>
      </w:tr>
      <w:tr w:rsidR="00827CC0" w:rsidRPr="00CF7E19" w14:paraId="0FD9FE39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798E7C5B" w14:textId="51D697F8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1.</w:t>
            </w:r>
            <w:bookmarkStart w:id="12" w:name="OLE_LINK1"/>
            <w:r w:rsidRPr="00CF7E19">
              <w:rPr>
                <w:lang w:val="es-ES_tradnl" w:eastAsia="zh-CN"/>
              </w:rPr>
              <w:tab/>
              <w:t>Partida I. Meta a largo plazo 1</w:t>
            </w:r>
            <w:bookmarkEnd w:id="12"/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6A45B913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59 596 100</w:t>
            </w:r>
          </w:p>
        </w:tc>
      </w:tr>
      <w:tr w:rsidR="00827CC0" w:rsidRPr="00CF7E19" w14:paraId="29832F25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38FA8EE6" w14:textId="4D4401AF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2.</w:t>
            </w:r>
            <w:r w:rsidRPr="00CF7E19">
              <w:rPr>
                <w:lang w:val="es-ES_tradnl" w:eastAsia="zh-CN"/>
              </w:rPr>
              <w:tab/>
              <w:t>Partida II. Meta a largo plazo 2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7F48DE40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54 339 000</w:t>
            </w:r>
          </w:p>
        </w:tc>
      </w:tr>
      <w:tr w:rsidR="00827CC0" w:rsidRPr="00CF7E19" w14:paraId="4E6C3823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8B45584" w14:textId="5AB8C230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3.</w:t>
            </w:r>
            <w:r w:rsidRPr="00CF7E19">
              <w:rPr>
                <w:lang w:val="es-ES_tradnl" w:eastAsia="zh-CN"/>
              </w:rPr>
              <w:tab/>
              <w:t>Partida III. Meta a largo plazo 3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29416FD6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27 584 100</w:t>
            </w:r>
          </w:p>
        </w:tc>
      </w:tr>
      <w:tr w:rsidR="00827CC0" w:rsidRPr="00CF7E19" w14:paraId="645AEB12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8B276ED" w14:textId="249711C4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4.</w:t>
            </w:r>
            <w:r w:rsidRPr="00CF7E19">
              <w:rPr>
                <w:lang w:val="es-ES_tradnl" w:eastAsia="zh-CN"/>
              </w:rPr>
              <w:tab/>
              <w:t>Partida IV. Meta a largo plazo 4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61891E43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66 468 300</w:t>
            </w:r>
          </w:p>
        </w:tc>
      </w:tr>
      <w:tr w:rsidR="00827CC0" w:rsidRPr="00CF7E19" w14:paraId="2DAEA784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0EF8FF9D" w14:textId="66F90D58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5.</w:t>
            </w:r>
            <w:r w:rsidRPr="00CF7E19">
              <w:rPr>
                <w:lang w:val="es-ES_tradnl" w:eastAsia="zh-CN"/>
              </w:rPr>
              <w:tab/>
              <w:t xml:space="preserve">Partida V. Meta a largo plazo </w:t>
            </w:r>
            <w:r w:rsidR="00C336B2">
              <w:rPr>
                <w:lang w:val="es-ES_tradnl" w:eastAsia="zh-CN"/>
              </w:rPr>
              <w:t>5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0172D6FF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4 995 900</w:t>
            </w:r>
          </w:p>
        </w:tc>
      </w:tr>
      <w:tr w:rsidR="00827CC0" w:rsidRPr="00CF7E19" w14:paraId="012AE6B2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05D333F" w14:textId="578C4BC2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6.</w:t>
            </w:r>
            <w:r w:rsidRPr="00CF7E19">
              <w:rPr>
                <w:lang w:val="es-ES_tradnl" w:eastAsia="zh-CN"/>
              </w:rPr>
              <w:tab/>
              <w:t>Partida VI. Órganos normativos, dirección ejecutiva y</w:t>
            </w:r>
            <w:r w:rsidR="00A46A19">
              <w:rPr>
                <w:lang w:val="es-ES_tradnl" w:eastAsia="zh-CN"/>
              </w:rPr>
              <w:t> </w:t>
            </w:r>
            <w:r w:rsidRPr="00CF7E19">
              <w:rPr>
                <w:lang w:val="es-ES_tradnl" w:eastAsia="zh-CN"/>
              </w:rPr>
              <w:t>supervisión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3283B105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43 747 000</w:t>
            </w:r>
          </w:p>
        </w:tc>
      </w:tr>
      <w:tr w:rsidR="00827CC0" w:rsidRPr="00CF7E19" w14:paraId="1E55307D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65E0FCA3" w14:textId="7298134F" w:rsidR="00827CC0" w:rsidRPr="00CF7E19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7.</w:t>
            </w:r>
            <w:r w:rsidRPr="00CF7E19">
              <w:rPr>
                <w:lang w:val="es-ES_tradnl" w:eastAsia="zh-CN"/>
              </w:rPr>
              <w:tab/>
              <w:t>Part</w:t>
            </w:r>
            <w:r w:rsidR="00C336B2">
              <w:rPr>
                <w:lang w:val="es-ES_tradnl" w:eastAsia="zh-CN"/>
              </w:rPr>
              <w:t>ida</w:t>
            </w:r>
            <w:r w:rsidRPr="00CF7E19">
              <w:rPr>
                <w:lang w:val="es-ES_tradnl" w:eastAsia="zh-CN"/>
              </w:rPr>
              <w:t xml:space="preserve"> VII. Servicios lingüísticos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0348E3BB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33 666 000</w:t>
            </w:r>
          </w:p>
        </w:tc>
      </w:tr>
      <w:tr w:rsidR="00827CC0" w:rsidRPr="00CF7E19" w14:paraId="090CE73A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5129536" w14:textId="43D01459" w:rsidR="00827CC0" w:rsidRPr="00CF7E19" w:rsidRDefault="00827CC0" w:rsidP="00C03A80">
            <w:p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jc w:val="lef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Cifra máxima de gastos:</w:t>
            </w:r>
            <w:r w:rsidR="00C03A80">
              <w:rPr>
                <w:lang w:val="es-ES_tradnl" w:eastAsia="zh-CN"/>
              </w:rPr>
              <w:br/>
            </w:r>
            <w:r w:rsidRPr="00CF7E19">
              <w:rPr>
                <w:lang w:val="es-ES_tradnl" w:eastAsia="zh-CN"/>
              </w:rPr>
              <w:t>(según decida el Congreso)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54F2FE26" w14:textId="77777777" w:rsidR="00827CC0" w:rsidRPr="00CF7E19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_tradnl" w:eastAsia="zh-CN"/>
              </w:rPr>
            </w:pPr>
            <w:r w:rsidRPr="00CF7E19">
              <w:rPr>
                <w:lang w:val="es-ES_tradnl" w:eastAsia="zh-CN"/>
              </w:rPr>
              <w:t>290 396 400</w:t>
            </w:r>
          </w:p>
        </w:tc>
      </w:tr>
    </w:tbl>
    <w:p w14:paraId="19FE18F0" w14:textId="77777777" w:rsidR="00827CC0" w:rsidRPr="00CF7E19" w:rsidRDefault="00827CC0" w:rsidP="00827CC0">
      <w:pPr>
        <w:tabs>
          <w:tab w:val="clear" w:pos="1134"/>
        </w:tabs>
        <w:spacing w:before="480"/>
        <w:jc w:val="center"/>
        <w:rPr>
          <w:lang w:val="es-ES_tradnl"/>
        </w:rPr>
      </w:pPr>
      <w:r w:rsidRPr="00CF7E19">
        <w:rPr>
          <w:lang w:val="es-ES_tradnl"/>
        </w:rPr>
        <w:t>_______________</w:t>
      </w:r>
    </w:p>
    <w:sectPr w:rsidR="00827CC0" w:rsidRPr="00CF7E19" w:rsidSect="0020095E">
      <w:headerReference w:type="default" r:id="rId28"/>
      <w:headerReference w:type="first" r:id="rId29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B410" w14:textId="77777777" w:rsidR="009F339F" w:rsidRDefault="009F339F">
      <w:r>
        <w:separator/>
      </w:r>
    </w:p>
    <w:p w14:paraId="24E3A407" w14:textId="77777777" w:rsidR="009F339F" w:rsidRDefault="009F339F"/>
    <w:p w14:paraId="4C186EB1" w14:textId="77777777" w:rsidR="009F339F" w:rsidRDefault="009F339F"/>
  </w:endnote>
  <w:endnote w:type="continuationSeparator" w:id="0">
    <w:p w14:paraId="2D9C76E1" w14:textId="77777777" w:rsidR="009F339F" w:rsidRDefault="009F339F">
      <w:r>
        <w:continuationSeparator/>
      </w:r>
    </w:p>
    <w:p w14:paraId="66894FE1" w14:textId="77777777" w:rsidR="009F339F" w:rsidRDefault="009F339F"/>
    <w:p w14:paraId="3CCA6925" w14:textId="77777777" w:rsidR="009F339F" w:rsidRDefault="009F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92C7" w14:textId="77777777" w:rsidR="009F339F" w:rsidRDefault="009F339F">
      <w:r>
        <w:separator/>
      </w:r>
    </w:p>
  </w:footnote>
  <w:footnote w:type="continuationSeparator" w:id="0">
    <w:p w14:paraId="1C81EE0C" w14:textId="77777777" w:rsidR="009F339F" w:rsidRDefault="009F339F">
      <w:r>
        <w:continuationSeparator/>
      </w:r>
    </w:p>
    <w:p w14:paraId="3F960BB7" w14:textId="77777777" w:rsidR="009F339F" w:rsidRDefault="009F339F"/>
    <w:p w14:paraId="7A4C3EA6" w14:textId="77777777" w:rsidR="009F339F" w:rsidRDefault="009F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1B82" w14:textId="7C539E2F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AB53A2">
      <w:t>5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067D6D"/>
    <w:multiLevelType w:val="hybridMultilevel"/>
    <w:tmpl w:val="26B45046"/>
    <w:lvl w:ilvl="0" w:tplc="EDBC0264">
      <w:start w:val="1"/>
      <w:numFmt w:val="decimal"/>
      <w:lvlText w:val="%1)"/>
      <w:lvlJc w:val="left"/>
      <w:pPr>
        <w:ind w:left="1488" w:hanging="11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27"/>
  </w:num>
  <w:num w:numId="4">
    <w:abstractNumId w:val="37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6"/>
  </w:num>
  <w:num w:numId="12">
    <w:abstractNumId w:val="11"/>
  </w:num>
  <w:num w:numId="13">
    <w:abstractNumId w:val="25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32"/>
  </w:num>
  <w:num w:numId="30">
    <w:abstractNumId w:val="34"/>
  </w:num>
  <w:num w:numId="31">
    <w:abstractNumId w:val="14"/>
  </w:num>
  <w:num w:numId="32">
    <w:abstractNumId w:val="40"/>
  </w:num>
  <w:num w:numId="33">
    <w:abstractNumId w:val="38"/>
  </w:num>
  <w:num w:numId="34">
    <w:abstractNumId w:val="24"/>
  </w:num>
  <w:num w:numId="35">
    <w:abstractNumId w:val="26"/>
  </w:num>
  <w:num w:numId="36">
    <w:abstractNumId w:val="44"/>
  </w:num>
  <w:num w:numId="37">
    <w:abstractNumId w:val="35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2"/>
  </w:num>
  <w:num w:numId="43">
    <w:abstractNumId w:val="16"/>
  </w:num>
  <w:num w:numId="44">
    <w:abstractNumId w:val="28"/>
  </w:num>
  <w:num w:numId="45">
    <w:abstractNumId w:val="3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2BC9"/>
    <w:rsid w:val="000A69BF"/>
    <w:rsid w:val="000C225A"/>
    <w:rsid w:val="000C6781"/>
    <w:rsid w:val="000F5E49"/>
    <w:rsid w:val="000F7A87"/>
    <w:rsid w:val="00105D2E"/>
    <w:rsid w:val="00107A09"/>
    <w:rsid w:val="00111BFD"/>
    <w:rsid w:val="0011498B"/>
    <w:rsid w:val="00120147"/>
    <w:rsid w:val="00123140"/>
    <w:rsid w:val="00123D94"/>
    <w:rsid w:val="001502E5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364A5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2CD8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5557A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342A8"/>
    <w:rsid w:val="004423FE"/>
    <w:rsid w:val="00445C35"/>
    <w:rsid w:val="00447D93"/>
    <w:rsid w:val="0045663A"/>
    <w:rsid w:val="0046344E"/>
    <w:rsid w:val="00463C4F"/>
    <w:rsid w:val="004667E7"/>
    <w:rsid w:val="00475797"/>
    <w:rsid w:val="0049253B"/>
    <w:rsid w:val="004A140B"/>
    <w:rsid w:val="004A6403"/>
    <w:rsid w:val="004B7BAA"/>
    <w:rsid w:val="004C2DF7"/>
    <w:rsid w:val="004C4E0B"/>
    <w:rsid w:val="004C65C4"/>
    <w:rsid w:val="004D497E"/>
    <w:rsid w:val="004E4809"/>
    <w:rsid w:val="004E5985"/>
    <w:rsid w:val="004E6352"/>
    <w:rsid w:val="004E6460"/>
    <w:rsid w:val="004F0DA8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2149"/>
    <w:rsid w:val="00536B2E"/>
    <w:rsid w:val="00546D8E"/>
    <w:rsid w:val="00553738"/>
    <w:rsid w:val="00561EBC"/>
    <w:rsid w:val="00571AE1"/>
    <w:rsid w:val="005751BB"/>
    <w:rsid w:val="00580F70"/>
    <w:rsid w:val="00581CFE"/>
    <w:rsid w:val="00585DA7"/>
    <w:rsid w:val="00585ED5"/>
    <w:rsid w:val="00592267"/>
    <w:rsid w:val="0059421F"/>
    <w:rsid w:val="00596CF0"/>
    <w:rsid w:val="005A24CE"/>
    <w:rsid w:val="005A3EE9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2895"/>
    <w:rsid w:val="0068392D"/>
    <w:rsid w:val="00697DB5"/>
    <w:rsid w:val="006A1B33"/>
    <w:rsid w:val="006A492A"/>
    <w:rsid w:val="006B5C72"/>
    <w:rsid w:val="006C5F94"/>
    <w:rsid w:val="006D0310"/>
    <w:rsid w:val="006D2009"/>
    <w:rsid w:val="006D5576"/>
    <w:rsid w:val="006E766D"/>
    <w:rsid w:val="006F4B29"/>
    <w:rsid w:val="006F6CE9"/>
    <w:rsid w:val="0070517C"/>
    <w:rsid w:val="00705C9F"/>
    <w:rsid w:val="0071693A"/>
    <w:rsid w:val="00716951"/>
    <w:rsid w:val="00720F6B"/>
    <w:rsid w:val="00730FC5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044C"/>
    <w:rsid w:val="007E7D21"/>
    <w:rsid w:val="007F482F"/>
    <w:rsid w:val="007F7C94"/>
    <w:rsid w:val="0080398D"/>
    <w:rsid w:val="00806385"/>
    <w:rsid w:val="00807CC5"/>
    <w:rsid w:val="00814CC6"/>
    <w:rsid w:val="00827CC0"/>
    <w:rsid w:val="00831751"/>
    <w:rsid w:val="00833369"/>
    <w:rsid w:val="00835B42"/>
    <w:rsid w:val="00842A4E"/>
    <w:rsid w:val="008451AA"/>
    <w:rsid w:val="00847D99"/>
    <w:rsid w:val="0085038E"/>
    <w:rsid w:val="008536F5"/>
    <w:rsid w:val="008546E7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149A8"/>
    <w:rsid w:val="00920506"/>
    <w:rsid w:val="00931DEB"/>
    <w:rsid w:val="00933957"/>
    <w:rsid w:val="00950605"/>
    <w:rsid w:val="00952233"/>
    <w:rsid w:val="00954D66"/>
    <w:rsid w:val="009559E0"/>
    <w:rsid w:val="00963F8F"/>
    <w:rsid w:val="0097378F"/>
    <w:rsid w:val="00973C62"/>
    <w:rsid w:val="00975D76"/>
    <w:rsid w:val="00982E51"/>
    <w:rsid w:val="009874B9"/>
    <w:rsid w:val="00993581"/>
    <w:rsid w:val="009A288C"/>
    <w:rsid w:val="009A2EC3"/>
    <w:rsid w:val="009A64C1"/>
    <w:rsid w:val="009B5349"/>
    <w:rsid w:val="009B6697"/>
    <w:rsid w:val="009C2EA4"/>
    <w:rsid w:val="009C4C04"/>
    <w:rsid w:val="009E2BBD"/>
    <w:rsid w:val="009F339F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46A19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B4D6B"/>
    <w:rsid w:val="00AB53A2"/>
    <w:rsid w:val="00AC46D4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BE3BEC"/>
    <w:rsid w:val="00C03A80"/>
    <w:rsid w:val="00C04BD2"/>
    <w:rsid w:val="00C13EEC"/>
    <w:rsid w:val="00C14689"/>
    <w:rsid w:val="00C156A4"/>
    <w:rsid w:val="00C16FD8"/>
    <w:rsid w:val="00C20FAA"/>
    <w:rsid w:val="00C2459D"/>
    <w:rsid w:val="00C316F1"/>
    <w:rsid w:val="00C336B2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529B"/>
    <w:rsid w:val="00CB64F0"/>
    <w:rsid w:val="00CC2909"/>
    <w:rsid w:val="00CD0549"/>
    <w:rsid w:val="00CD536B"/>
    <w:rsid w:val="00CF40BF"/>
    <w:rsid w:val="00CF5E38"/>
    <w:rsid w:val="00CF7E19"/>
    <w:rsid w:val="00D05E6F"/>
    <w:rsid w:val="00D14624"/>
    <w:rsid w:val="00D24F2A"/>
    <w:rsid w:val="00D27929"/>
    <w:rsid w:val="00D33442"/>
    <w:rsid w:val="00D339D5"/>
    <w:rsid w:val="00D44BAD"/>
    <w:rsid w:val="00D45B55"/>
    <w:rsid w:val="00D52574"/>
    <w:rsid w:val="00D7097B"/>
    <w:rsid w:val="00D91DFA"/>
    <w:rsid w:val="00DA159A"/>
    <w:rsid w:val="00DA4CFF"/>
    <w:rsid w:val="00DB1AB2"/>
    <w:rsid w:val="00DC4FDF"/>
    <w:rsid w:val="00DC66F0"/>
    <w:rsid w:val="00DD1677"/>
    <w:rsid w:val="00DD2F0E"/>
    <w:rsid w:val="00DD3A65"/>
    <w:rsid w:val="00DD62C6"/>
    <w:rsid w:val="00DE7137"/>
    <w:rsid w:val="00DE7D86"/>
    <w:rsid w:val="00E00498"/>
    <w:rsid w:val="00E14ADB"/>
    <w:rsid w:val="00E2617A"/>
    <w:rsid w:val="00E31CD4"/>
    <w:rsid w:val="00E47778"/>
    <w:rsid w:val="00E538E6"/>
    <w:rsid w:val="00E802A2"/>
    <w:rsid w:val="00E85C0B"/>
    <w:rsid w:val="00EB132F"/>
    <w:rsid w:val="00EB13D7"/>
    <w:rsid w:val="00EB1E83"/>
    <w:rsid w:val="00EB2BF3"/>
    <w:rsid w:val="00EB69FD"/>
    <w:rsid w:val="00EC29D5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2582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B61C9"/>
    <w:rsid w:val="00FC009F"/>
    <w:rsid w:val="00FD1A37"/>
    <w:rsid w:val="00FD4E5B"/>
    <w:rsid w:val="00FE4EE0"/>
    <w:rsid w:val="00FF1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/" TargetMode="External"/><Relationship Id="rId18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Relationship Id="rId26" Type="http://schemas.openxmlformats.org/officeDocument/2006/relationships/hyperlink" Target="https://meetings.wmo.int/Cg-19/Spanish/Forms/AllItems.aspx?RootFolder=%2FCg%2D19%2FSpanish%2F1%2E%20Versiones%20para%20debate&amp;FolderCTID=0x012000B6128613F53BD94E8EE8BE1EB19A1145&amp;View=%7B23C957B4%2DE938%2D4E0E%2DA6B6%2D6D92E51F5DDA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doc_num.php?explnum_id=11189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/" TargetMode="External"/><Relationship Id="rId17" Type="http://schemas.openxmlformats.org/officeDocument/2006/relationships/hyperlink" Target="https://meetings.wmo.int/Cg-19/InformationDocuments/Forms/AllItems.aspx" TargetMode="External"/><Relationship Id="rId25" Type="http://schemas.openxmlformats.org/officeDocument/2006/relationships/hyperlink" Target="https://meetings.wmo.int/Cg-19/InformationDocuments/Forms/AllItem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485/" TargetMode="External"/><Relationship Id="rId20" Type="http://schemas.openxmlformats.org/officeDocument/2006/relationships/hyperlink" Target="https://meetings.wmo.int/EC-76/InformationDocuments/Forms/AllItem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meetings.wmo.int/Cg-19/InformationDocuments/Forms/AllItem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485/" TargetMode="External"/><Relationship Id="rId23" Type="http://schemas.openxmlformats.org/officeDocument/2006/relationships/hyperlink" Target="https://meetings.wmo.int/Cg-19/Spanish/Forms/AllItems.aspx?RootFolder=%2FCg%2D19%2FSpanish%2F1%2E%20Versiones%20para%20debate&amp;FolderCTID=0x012000B6128613F53BD94E8EE8BE1EB19A1145&amp;View=%7B23C957B4%2DE938%2D4E0E%2DA6B6%2D6D92E51F5DDA%7D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eetings.wmo.int/Cg-19/InformationDocuments/Forms/AllItem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189/" TargetMode="External"/><Relationship Id="rId22" Type="http://schemas.openxmlformats.org/officeDocument/2006/relationships/hyperlink" Target="https://library.wmo.int/doc_num.php?explnum_id=11189/" TargetMode="External"/><Relationship Id="rId27" Type="http://schemas.openxmlformats.org/officeDocument/2006/relationships/hyperlink" Target="https://library.wmo.int/doc_num.php?explnum_id=9847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D923-6947-4839-BA3F-1F32C01EDECD}"/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purl.org/dc/elements/1.1/"/>
    <ds:schemaRef ds:uri="ce21bc6c-711a-4065-a01c-a8f0e29e3ad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679bf0f-1d7e-438f-afa5-6ebf1e20f9b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8477A-CD1D-4C96-8FE6-F041630C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(2).dotx</Template>
  <TotalTime>203</TotalTime>
  <Pages>5</Pages>
  <Words>1139</Words>
  <Characters>6416</Characters>
  <Application>Microsoft Office Word</Application>
  <DocSecurity>0</DocSecurity>
  <Lines>188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7436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Elena Vicente</cp:lastModifiedBy>
  <cp:revision>19</cp:revision>
  <cp:lastPrinted>2013-03-12T09:27:00Z</cp:lastPrinted>
  <dcterms:created xsi:type="dcterms:W3CDTF">2023-01-12T14:50:00Z</dcterms:created>
  <dcterms:modified xsi:type="dcterms:W3CDTF">2023-01-13T14:46:00Z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